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808" w:rsidRDefault="00AC3C76" w:rsidP="00AC3C76">
      <w:pPr>
        <w:jc w:val="center"/>
        <w:rPr>
          <w:b/>
          <w:color w:val="2E74B5" w:themeColor="accent1" w:themeShade="BF"/>
          <w:sz w:val="24"/>
          <w:u w:val="single"/>
        </w:rPr>
      </w:pPr>
      <w:r w:rsidRPr="00AC3C76">
        <w:rPr>
          <w:b/>
          <w:color w:val="2E74B5" w:themeColor="accent1" w:themeShade="BF"/>
          <w:sz w:val="24"/>
          <w:u w:val="single"/>
        </w:rPr>
        <w:t>INSURANCE STATE SUPERVISION SERVICE OF GEORGIA</w:t>
      </w:r>
    </w:p>
    <w:tbl>
      <w:tblPr>
        <w:tblW w:w="15210" w:type="dxa"/>
        <w:tblInd w:w="-275" w:type="dxa"/>
        <w:tblLook w:val="04A0" w:firstRow="1" w:lastRow="0" w:firstColumn="1" w:lastColumn="0" w:noHBand="0" w:noVBand="1"/>
      </w:tblPr>
      <w:tblGrid>
        <w:gridCol w:w="1523"/>
        <w:gridCol w:w="1176"/>
        <w:gridCol w:w="1101"/>
        <w:gridCol w:w="852"/>
        <w:gridCol w:w="1046"/>
        <w:gridCol w:w="687"/>
        <w:gridCol w:w="1520"/>
        <w:gridCol w:w="1753"/>
        <w:gridCol w:w="1132"/>
        <w:gridCol w:w="1102"/>
        <w:gridCol w:w="1842"/>
        <w:gridCol w:w="1476"/>
      </w:tblGrid>
      <w:tr w:rsidR="00337EAB" w:rsidRPr="00337EAB" w:rsidTr="00EE31B6">
        <w:trPr>
          <w:trHeight w:val="583"/>
        </w:trPr>
        <w:tc>
          <w:tcPr>
            <w:tcW w:w="15210" w:type="dxa"/>
            <w:gridSpan w:val="12"/>
            <w:tcBorders>
              <w:top w:val="single" w:sz="8" w:space="0" w:color="808080"/>
              <w:left w:val="single" w:sz="8" w:space="0" w:color="808080"/>
              <w:bottom w:val="single" w:sz="8" w:space="0" w:color="808080"/>
              <w:right w:val="single" w:sz="8" w:space="0" w:color="808080"/>
            </w:tcBorders>
            <w:shd w:val="clear" w:color="auto" w:fill="9CC2E5" w:themeFill="accent1" w:themeFillTint="99"/>
            <w:vAlign w:val="center"/>
          </w:tcPr>
          <w:p w:rsidR="00337EAB" w:rsidRPr="002B38EE" w:rsidRDefault="00337EAB" w:rsidP="00337EAB">
            <w:pPr>
              <w:spacing w:after="0" w:line="240" w:lineRule="auto"/>
              <w:jc w:val="center"/>
              <w:rPr>
                <w:rFonts w:eastAsia="Times New Roman" w:cstheme="minorHAnsi"/>
                <w:b/>
                <w:bCs/>
                <w:sz w:val="20"/>
                <w:szCs w:val="20"/>
              </w:rPr>
            </w:pPr>
            <w:r w:rsidRPr="002B38EE">
              <w:rPr>
                <w:rFonts w:eastAsia="Times New Roman" w:cstheme="minorHAnsi"/>
                <w:b/>
                <w:bCs/>
                <w:sz w:val="20"/>
                <w:szCs w:val="20"/>
              </w:rPr>
              <w:t>FINANCIAL SERVICES</w:t>
            </w:r>
          </w:p>
        </w:tc>
      </w:tr>
      <w:tr w:rsidR="00EE31B6" w:rsidRPr="00337EAB" w:rsidTr="00EE31B6">
        <w:trPr>
          <w:trHeight w:val="495"/>
        </w:trPr>
        <w:tc>
          <w:tcPr>
            <w:tcW w:w="2699" w:type="dxa"/>
            <w:gridSpan w:val="2"/>
            <w:tcBorders>
              <w:top w:val="single" w:sz="8" w:space="0" w:color="808080"/>
              <w:left w:val="single" w:sz="8" w:space="0" w:color="808080"/>
              <w:bottom w:val="single" w:sz="8" w:space="0" w:color="808080"/>
              <w:right w:val="single" w:sz="8" w:space="0" w:color="808080"/>
            </w:tcBorders>
            <w:shd w:val="clear" w:color="000000" w:fill="FFE699"/>
            <w:vAlign w:val="center"/>
            <w:hideMark/>
          </w:tcPr>
          <w:p w:rsidR="00EE31B6" w:rsidRPr="00337EAB" w:rsidRDefault="00EE31B6" w:rsidP="00337EAB">
            <w:pPr>
              <w:spacing w:after="0" w:line="240" w:lineRule="auto"/>
              <w:jc w:val="center"/>
              <w:rPr>
                <w:rFonts w:eastAsia="Times New Roman" w:cstheme="minorHAnsi"/>
                <w:b/>
                <w:bCs/>
                <w:color w:val="3A3838"/>
                <w:sz w:val="16"/>
                <w:szCs w:val="16"/>
              </w:rPr>
            </w:pPr>
            <w:r w:rsidRPr="00337EAB">
              <w:rPr>
                <w:rFonts w:eastAsia="Times New Roman" w:cstheme="minorHAnsi"/>
                <w:b/>
                <w:bCs/>
                <w:color w:val="3A3838"/>
                <w:sz w:val="16"/>
                <w:szCs w:val="16"/>
              </w:rPr>
              <w:t>EU Law</w:t>
            </w:r>
          </w:p>
        </w:tc>
        <w:tc>
          <w:tcPr>
            <w:tcW w:w="1101" w:type="dxa"/>
            <w:vMerge w:val="restart"/>
            <w:tcBorders>
              <w:top w:val="single" w:sz="8" w:space="0" w:color="808080"/>
              <w:left w:val="single" w:sz="8" w:space="0" w:color="808080"/>
              <w:bottom w:val="single" w:sz="8" w:space="0" w:color="808080"/>
              <w:right w:val="single" w:sz="8" w:space="0" w:color="808080"/>
            </w:tcBorders>
            <w:shd w:val="clear" w:color="000000" w:fill="FFD966"/>
            <w:vAlign w:val="center"/>
            <w:hideMark/>
          </w:tcPr>
          <w:p w:rsidR="00EE31B6" w:rsidRPr="00337EAB" w:rsidRDefault="00EE31B6" w:rsidP="00337EAB">
            <w:pPr>
              <w:spacing w:after="0" w:line="240" w:lineRule="auto"/>
              <w:jc w:val="center"/>
              <w:rPr>
                <w:rFonts w:eastAsia="Times New Roman" w:cstheme="minorHAnsi"/>
                <w:b/>
                <w:bCs/>
                <w:sz w:val="16"/>
                <w:szCs w:val="16"/>
              </w:rPr>
            </w:pPr>
            <w:r w:rsidRPr="00337EAB">
              <w:rPr>
                <w:rFonts w:eastAsia="Times New Roman" w:cstheme="minorHAnsi"/>
                <w:b/>
                <w:bCs/>
                <w:sz w:val="16"/>
                <w:szCs w:val="16"/>
              </w:rPr>
              <w:t xml:space="preserve">AA </w:t>
            </w:r>
            <w:r w:rsidRPr="00337EAB">
              <w:rPr>
                <w:rFonts w:eastAsia="Times New Roman" w:cstheme="minorHAnsi"/>
                <w:b/>
                <w:bCs/>
                <w:sz w:val="16"/>
                <w:szCs w:val="16"/>
              </w:rPr>
              <w:br/>
              <w:t>Deadline</w:t>
            </w:r>
          </w:p>
        </w:tc>
        <w:tc>
          <w:tcPr>
            <w:tcW w:w="852" w:type="dxa"/>
            <w:vMerge w:val="restart"/>
            <w:tcBorders>
              <w:top w:val="single" w:sz="8" w:space="0" w:color="808080"/>
              <w:left w:val="single" w:sz="8" w:space="0" w:color="808080"/>
              <w:bottom w:val="single" w:sz="8" w:space="0" w:color="808080"/>
              <w:right w:val="single" w:sz="8" w:space="0" w:color="808080"/>
            </w:tcBorders>
            <w:shd w:val="clear" w:color="000000" w:fill="70AD47"/>
            <w:vAlign w:val="center"/>
            <w:hideMark/>
          </w:tcPr>
          <w:p w:rsidR="00EE31B6" w:rsidRPr="00337EAB" w:rsidRDefault="00EE31B6" w:rsidP="00C276D0">
            <w:pPr>
              <w:spacing w:after="0" w:line="240" w:lineRule="auto"/>
              <w:jc w:val="center"/>
              <w:rPr>
                <w:rFonts w:eastAsia="Times New Roman" w:cstheme="minorHAnsi"/>
                <w:b/>
                <w:bCs/>
                <w:sz w:val="16"/>
                <w:szCs w:val="16"/>
              </w:rPr>
            </w:pPr>
            <w:r w:rsidRPr="00337EAB">
              <w:rPr>
                <w:rFonts w:eastAsia="Times New Roman" w:cstheme="minorHAnsi"/>
                <w:b/>
                <w:bCs/>
                <w:sz w:val="16"/>
                <w:szCs w:val="16"/>
              </w:rPr>
              <w:t xml:space="preserve">LA </w:t>
            </w:r>
            <w:r w:rsidRPr="00337EAB">
              <w:rPr>
                <w:rFonts w:eastAsia="Times New Roman" w:cstheme="minorHAnsi"/>
                <w:b/>
                <w:bCs/>
                <w:sz w:val="16"/>
                <w:szCs w:val="16"/>
              </w:rPr>
              <w:br/>
              <w:t>Status</w:t>
            </w:r>
          </w:p>
        </w:tc>
        <w:tc>
          <w:tcPr>
            <w:tcW w:w="1733" w:type="dxa"/>
            <w:gridSpan w:val="2"/>
            <w:tcBorders>
              <w:top w:val="single" w:sz="8" w:space="0" w:color="808080"/>
              <w:left w:val="single" w:sz="8" w:space="0" w:color="808080"/>
              <w:bottom w:val="single" w:sz="8" w:space="0" w:color="808080"/>
              <w:right w:val="single" w:sz="8" w:space="0" w:color="808080"/>
            </w:tcBorders>
            <w:shd w:val="clear" w:color="000000" w:fill="A9D08E"/>
            <w:noWrap/>
            <w:vAlign w:val="center"/>
            <w:hideMark/>
          </w:tcPr>
          <w:p w:rsidR="00EE31B6" w:rsidRPr="00EE31B6" w:rsidRDefault="00EE31B6" w:rsidP="00EE31B6">
            <w:pPr>
              <w:spacing w:after="0" w:line="240" w:lineRule="auto"/>
              <w:jc w:val="center"/>
              <w:rPr>
                <w:rFonts w:eastAsia="Times New Roman" w:cstheme="minorHAnsi"/>
                <w:b/>
                <w:bCs/>
                <w:sz w:val="16"/>
                <w:szCs w:val="16"/>
              </w:rPr>
            </w:pPr>
            <w:r w:rsidRPr="00337EAB">
              <w:rPr>
                <w:rFonts w:eastAsia="Times New Roman" w:cstheme="minorHAnsi"/>
                <w:b/>
                <w:bCs/>
                <w:sz w:val="16"/>
                <w:szCs w:val="16"/>
              </w:rPr>
              <w:t>Year</w:t>
            </w:r>
          </w:p>
        </w:tc>
        <w:tc>
          <w:tcPr>
            <w:tcW w:w="3273" w:type="dxa"/>
            <w:gridSpan w:val="2"/>
            <w:tcBorders>
              <w:top w:val="single" w:sz="8" w:space="0" w:color="808080"/>
              <w:left w:val="single" w:sz="8" w:space="0" w:color="808080"/>
              <w:bottom w:val="single" w:sz="8" w:space="0" w:color="808080"/>
              <w:right w:val="single" w:sz="8" w:space="0" w:color="808080"/>
            </w:tcBorders>
            <w:shd w:val="clear" w:color="000000" w:fill="A9D08E"/>
            <w:noWrap/>
            <w:vAlign w:val="center"/>
            <w:hideMark/>
          </w:tcPr>
          <w:p w:rsidR="00EE31B6" w:rsidRPr="00337EAB" w:rsidRDefault="00EE31B6" w:rsidP="00337EAB">
            <w:pPr>
              <w:spacing w:after="0" w:line="240" w:lineRule="auto"/>
              <w:jc w:val="center"/>
              <w:rPr>
                <w:rFonts w:eastAsia="Times New Roman" w:cstheme="minorHAnsi"/>
                <w:b/>
                <w:bCs/>
                <w:sz w:val="16"/>
                <w:szCs w:val="16"/>
              </w:rPr>
            </w:pPr>
            <w:r w:rsidRPr="00337EAB">
              <w:rPr>
                <w:rFonts w:eastAsia="Times New Roman" w:cstheme="minorHAnsi"/>
                <w:b/>
                <w:bCs/>
                <w:sz w:val="16"/>
                <w:szCs w:val="16"/>
              </w:rPr>
              <w:t>Domestic Legislation</w:t>
            </w:r>
          </w:p>
        </w:tc>
        <w:tc>
          <w:tcPr>
            <w:tcW w:w="2234" w:type="dxa"/>
            <w:gridSpan w:val="2"/>
            <w:tcBorders>
              <w:top w:val="single" w:sz="8" w:space="0" w:color="808080"/>
              <w:left w:val="single" w:sz="8" w:space="0" w:color="808080"/>
              <w:bottom w:val="single" w:sz="8" w:space="0" w:color="808080"/>
              <w:right w:val="single" w:sz="8" w:space="0" w:color="808080"/>
            </w:tcBorders>
            <w:shd w:val="clear" w:color="000000" w:fill="A9D08E"/>
            <w:noWrap/>
            <w:vAlign w:val="center"/>
            <w:hideMark/>
          </w:tcPr>
          <w:p w:rsidR="00EE31B6" w:rsidRPr="00337EAB" w:rsidRDefault="00EE31B6" w:rsidP="00337EAB">
            <w:pPr>
              <w:spacing w:after="0" w:line="240" w:lineRule="auto"/>
              <w:jc w:val="center"/>
              <w:rPr>
                <w:rFonts w:eastAsia="Times New Roman" w:cstheme="minorHAnsi"/>
                <w:b/>
                <w:bCs/>
                <w:sz w:val="16"/>
                <w:szCs w:val="16"/>
              </w:rPr>
            </w:pPr>
            <w:r w:rsidRPr="00337EAB">
              <w:rPr>
                <w:rFonts w:eastAsia="Times New Roman" w:cstheme="minorHAnsi"/>
                <w:b/>
                <w:bCs/>
                <w:sz w:val="16"/>
                <w:szCs w:val="16"/>
              </w:rPr>
              <w:t>Institution(s) In Charge</w:t>
            </w:r>
          </w:p>
        </w:tc>
        <w:tc>
          <w:tcPr>
            <w:tcW w:w="1842" w:type="dxa"/>
            <w:vMerge w:val="restart"/>
            <w:tcBorders>
              <w:top w:val="single" w:sz="8" w:space="0" w:color="808080"/>
              <w:left w:val="single" w:sz="8" w:space="0" w:color="808080"/>
              <w:bottom w:val="single" w:sz="8" w:space="0" w:color="808080"/>
              <w:right w:val="single" w:sz="8" w:space="0" w:color="808080"/>
            </w:tcBorders>
            <w:shd w:val="clear" w:color="000000" w:fill="A9D08E"/>
            <w:vAlign w:val="center"/>
            <w:hideMark/>
          </w:tcPr>
          <w:p w:rsidR="00EE31B6" w:rsidRPr="00337EAB" w:rsidRDefault="00EE31B6" w:rsidP="00337EAB">
            <w:pPr>
              <w:spacing w:after="0" w:line="240" w:lineRule="auto"/>
              <w:jc w:val="center"/>
              <w:rPr>
                <w:rFonts w:eastAsia="Times New Roman" w:cstheme="minorHAnsi"/>
                <w:b/>
                <w:bCs/>
                <w:sz w:val="16"/>
                <w:szCs w:val="16"/>
              </w:rPr>
            </w:pPr>
            <w:r w:rsidRPr="00337EAB">
              <w:rPr>
                <w:rFonts w:eastAsia="Times New Roman" w:cstheme="minorHAnsi"/>
                <w:b/>
                <w:bCs/>
                <w:sz w:val="16"/>
                <w:szCs w:val="16"/>
              </w:rPr>
              <w:t xml:space="preserve">COMMENTS </w:t>
            </w:r>
          </w:p>
        </w:tc>
        <w:tc>
          <w:tcPr>
            <w:tcW w:w="1476" w:type="dxa"/>
            <w:vMerge w:val="restart"/>
            <w:tcBorders>
              <w:top w:val="single" w:sz="8" w:space="0" w:color="808080"/>
              <w:left w:val="single" w:sz="8" w:space="0" w:color="808080"/>
              <w:bottom w:val="single" w:sz="8" w:space="0" w:color="808080"/>
              <w:right w:val="single" w:sz="8" w:space="0" w:color="808080"/>
            </w:tcBorders>
            <w:shd w:val="clear" w:color="000000" w:fill="A9D08E"/>
            <w:vAlign w:val="center"/>
          </w:tcPr>
          <w:p w:rsidR="00EE31B6" w:rsidRPr="00337EAB" w:rsidRDefault="00EE31B6" w:rsidP="00337EAB">
            <w:pPr>
              <w:spacing w:after="0" w:line="240" w:lineRule="auto"/>
              <w:jc w:val="center"/>
              <w:rPr>
                <w:rFonts w:eastAsia="Times New Roman" w:cstheme="minorHAnsi"/>
                <w:b/>
                <w:bCs/>
                <w:sz w:val="16"/>
                <w:szCs w:val="16"/>
              </w:rPr>
            </w:pPr>
            <w:r w:rsidRPr="00337EAB">
              <w:rPr>
                <w:rFonts w:eastAsia="Times New Roman" w:cstheme="minorHAnsi"/>
                <w:b/>
                <w:bCs/>
                <w:sz w:val="16"/>
                <w:szCs w:val="16"/>
              </w:rPr>
              <w:t>REFERENCE</w:t>
            </w:r>
          </w:p>
        </w:tc>
      </w:tr>
      <w:tr w:rsidR="00337EAB" w:rsidRPr="00337EAB" w:rsidTr="00EE31B6">
        <w:trPr>
          <w:trHeight w:val="810"/>
        </w:trPr>
        <w:tc>
          <w:tcPr>
            <w:tcW w:w="1523" w:type="dxa"/>
            <w:tcBorders>
              <w:top w:val="single" w:sz="8" w:space="0" w:color="808080"/>
              <w:left w:val="single" w:sz="8" w:space="0" w:color="808080"/>
              <w:bottom w:val="single" w:sz="8" w:space="0" w:color="808080"/>
              <w:right w:val="single" w:sz="8" w:space="0" w:color="808080"/>
            </w:tcBorders>
            <w:shd w:val="clear" w:color="000000" w:fill="FFF2CC"/>
            <w:vAlign w:val="center"/>
            <w:hideMark/>
          </w:tcPr>
          <w:p w:rsidR="00337EAB" w:rsidRPr="00337EAB" w:rsidRDefault="00337EAB" w:rsidP="00337EAB">
            <w:pPr>
              <w:spacing w:after="0" w:line="240" w:lineRule="auto"/>
              <w:jc w:val="center"/>
              <w:rPr>
                <w:rFonts w:eastAsia="Times New Roman" w:cstheme="minorHAnsi"/>
                <w:b/>
                <w:bCs/>
                <w:color w:val="3A3838"/>
                <w:sz w:val="16"/>
                <w:szCs w:val="16"/>
              </w:rPr>
            </w:pPr>
            <w:r w:rsidRPr="00337EAB">
              <w:rPr>
                <w:rFonts w:eastAsia="Times New Roman" w:cstheme="minorHAnsi"/>
                <w:b/>
                <w:bCs/>
                <w:color w:val="3A3838"/>
                <w:sz w:val="16"/>
                <w:szCs w:val="16"/>
              </w:rPr>
              <w:br/>
            </w:r>
            <w:r w:rsidRPr="00337EAB">
              <w:rPr>
                <w:rFonts w:eastAsia="Times New Roman" w:cstheme="minorHAnsi"/>
                <w:b/>
                <w:bCs/>
                <w:i/>
                <w:iCs/>
                <w:color w:val="3A3838"/>
                <w:sz w:val="16"/>
                <w:szCs w:val="16"/>
              </w:rPr>
              <w:t>as per</w:t>
            </w:r>
            <w:r w:rsidRPr="00337EAB">
              <w:rPr>
                <w:rFonts w:eastAsia="Times New Roman" w:cstheme="minorHAnsi"/>
                <w:b/>
                <w:bCs/>
                <w:color w:val="3A3838"/>
                <w:sz w:val="16"/>
                <w:szCs w:val="16"/>
              </w:rPr>
              <w:t xml:space="preserve"> AA</w:t>
            </w:r>
          </w:p>
        </w:tc>
        <w:tc>
          <w:tcPr>
            <w:tcW w:w="1176" w:type="dxa"/>
            <w:tcBorders>
              <w:top w:val="single" w:sz="8" w:space="0" w:color="808080"/>
              <w:left w:val="single" w:sz="8" w:space="0" w:color="808080"/>
              <w:bottom w:val="single" w:sz="8" w:space="0" w:color="808080"/>
              <w:right w:val="single" w:sz="8" w:space="0" w:color="808080"/>
            </w:tcBorders>
            <w:shd w:val="clear" w:color="000000" w:fill="FFF2CC"/>
            <w:vAlign w:val="center"/>
            <w:hideMark/>
          </w:tcPr>
          <w:p w:rsidR="00337EAB" w:rsidRPr="00337EAB" w:rsidRDefault="00337EAB" w:rsidP="00337EAB">
            <w:pPr>
              <w:spacing w:after="0" w:line="240" w:lineRule="auto"/>
              <w:jc w:val="center"/>
              <w:rPr>
                <w:rFonts w:eastAsia="Times New Roman" w:cstheme="minorHAnsi"/>
                <w:b/>
                <w:bCs/>
                <w:color w:val="3A3838"/>
                <w:sz w:val="16"/>
                <w:szCs w:val="16"/>
              </w:rPr>
            </w:pPr>
            <w:r w:rsidRPr="00337EAB">
              <w:rPr>
                <w:rFonts w:eastAsia="Times New Roman" w:cstheme="minorHAnsi"/>
                <w:b/>
                <w:bCs/>
                <w:color w:val="3A3838"/>
                <w:sz w:val="16"/>
                <w:szCs w:val="16"/>
              </w:rPr>
              <w:br/>
            </w:r>
            <w:r w:rsidRPr="00337EAB">
              <w:rPr>
                <w:rFonts w:eastAsia="Times New Roman" w:cstheme="minorHAnsi"/>
                <w:b/>
                <w:bCs/>
                <w:i/>
                <w:iCs/>
                <w:color w:val="3A3838"/>
                <w:sz w:val="16"/>
                <w:szCs w:val="16"/>
              </w:rPr>
              <w:t xml:space="preserve">as per </w:t>
            </w:r>
            <w:r w:rsidRPr="00337EAB">
              <w:rPr>
                <w:rFonts w:eastAsia="Times New Roman" w:cstheme="minorHAnsi"/>
                <w:b/>
                <w:bCs/>
                <w:color w:val="3A3838"/>
                <w:sz w:val="16"/>
                <w:szCs w:val="16"/>
              </w:rPr>
              <w:t>changes since AA</w:t>
            </w:r>
          </w:p>
        </w:tc>
        <w:tc>
          <w:tcPr>
            <w:tcW w:w="1101" w:type="dxa"/>
            <w:vMerge/>
            <w:tcBorders>
              <w:top w:val="single" w:sz="8" w:space="0" w:color="808080"/>
              <w:left w:val="single" w:sz="8" w:space="0" w:color="808080"/>
              <w:bottom w:val="nil"/>
              <w:right w:val="single" w:sz="8" w:space="0" w:color="FFFFFF"/>
            </w:tcBorders>
            <w:vAlign w:val="center"/>
            <w:hideMark/>
          </w:tcPr>
          <w:p w:rsidR="00337EAB" w:rsidRPr="00337EAB" w:rsidRDefault="00337EAB" w:rsidP="00337EAB">
            <w:pPr>
              <w:spacing w:after="0" w:line="240" w:lineRule="auto"/>
              <w:rPr>
                <w:rFonts w:eastAsia="Times New Roman" w:cstheme="minorHAnsi"/>
                <w:b/>
                <w:bCs/>
                <w:sz w:val="16"/>
                <w:szCs w:val="16"/>
              </w:rPr>
            </w:pPr>
          </w:p>
        </w:tc>
        <w:tc>
          <w:tcPr>
            <w:tcW w:w="852" w:type="dxa"/>
            <w:vMerge/>
            <w:tcBorders>
              <w:top w:val="single" w:sz="8" w:space="0" w:color="808080"/>
              <w:left w:val="single" w:sz="8" w:space="0" w:color="FFFFFF"/>
              <w:bottom w:val="nil"/>
              <w:right w:val="single" w:sz="8" w:space="0" w:color="808080"/>
            </w:tcBorders>
            <w:vAlign w:val="center"/>
            <w:hideMark/>
          </w:tcPr>
          <w:p w:rsidR="00337EAB" w:rsidRPr="00337EAB" w:rsidRDefault="00337EAB" w:rsidP="00337EAB">
            <w:pPr>
              <w:spacing w:after="0" w:line="240" w:lineRule="auto"/>
              <w:rPr>
                <w:rFonts w:eastAsia="Times New Roman" w:cstheme="minorHAnsi"/>
                <w:b/>
                <w:bCs/>
                <w:sz w:val="16"/>
                <w:szCs w:val="16"/>
              </w:rPr>
            </w:pPr>
          </w:p>
        </w:tc>
        <w:tc>
          <w:tcPr>
            <w:tcW w:w="1046" w:type="dxa"/>
            <w:tcBorders>
              <w:top w:val="single" w:sz="8" w:space="0" w:color="808080"/>
              <w:left w:val="single" w:sz="8" w:space="0" w:color="808080"/>
              <w:bottom w:val="single" w:sz="8" w:space="0" w:color="808080"/>
              <w:right w:val="single" w:sz="8" w:space="0" w:color="808080"/>
            </w:tcBorders>
            <w:shd w:val="clear" w:color="000000" w:fill="E2EFDA"/>
            <w:vAlign w:val="center"/>
            <w:hideMark/>
          </w:tcPr>
          <w:p w:rsidR="00337EAB" w:rsidRPr="00337EAB" w:rsidRDefault="00337EAB" w:rsidP="00337EAB">
            <w:pPr>
              <w:spacing w:after="0" w:line="240" w:lineRule="auto"/>
              <w:jc w:val="center"/>
              <w:rPr>
                <w:rFonts w:eastAsia="Times New Roman" w:cstheme="minorHAnsi"/>
                <w:b/>
                <w:bCs/>
                <w:color w:val="3A3838"/>
                <w:sz w:val="16"/>
                <w:szCs w:val="16"/>
              </w:rPr>
            </w:pPr>
            <w:r w:rsidRPr="00337EAB">
              <w:rPr>
                <w:rFonts w:eastAsia="Times New Roman" w:cstheme="minorHAnsi"/>
                <w:b/>
                <w:bCs/>
                <w:color w:val="3A3838"/>
                <w:sz w:val="16"/>
                <w:szCs w:val="16"/>
              </w:rPr>
              <w:t>Adoption</w:t>
            </w:r>
          </w:p>
        </w:tc>
        <w:tc>
          <w:tcPr>
            <w:tcW w:w="687" w:type="dxa"/>
            <w:tcBorders>
              <w:top w:val="single" w:sz="8" w:space="0" w:color="808080"/>
              <w:left w:val="single" w:sz="8" w:space="0" w:color="808080"/>
              <w:bottom w:val="single" w:sz="8" w:space="0" w:color="808080"/>
              <w:right w:val="single" w:sz="8" w:space="0" w:color="808080"/>
            </w:tcBorders>
            <w:shd w:val="clear" w:color="000000" w:fill="E2EFDA"/>
            <w:vAlign w:val="center"/>
            <w:hideMark/>
          </w:tcPr>
          <w:p w:rsidR="00337EAB" w:rsidRPr="00337EAB" w:rsidRDefault="00337EAB" w:rsidP="00337EAB">
            <w:pPr>
              <w:spacing w:after="0" w:line="240" w:lineRule="auto"/>
              <w:jc w:val="center"/>
              <w:rPr>
                <w:rFonts w:eastAsia="Times New Roman" w:cstheme="minorHAnsi"/>
                <w:b/>
                <w:bCs/>
                <w:color w:val="3A3838"/>
                <w:sz w:val="16"/>
                <w:szCs w:val="16"/>
              </w:rPr>
            </w:pPr>
            <w:r w:rsidRPr="00337EAB">
              <w:rPr>
                <w:rFonts w:eastAsia="Times New Roman" w:cstheme="minorHAnsi"/>
                <w:b/>
                <w:bCs/>
                <w:color w:val="3A3838"/>
                <w:sz w:val="16"/>
                <w:szCs w:val="16"/>
              </w:rPr>
              <w:t>Entry into force</w:t>
            </w:r>
          </w:p>
        </w:tc>
        <w:tc>
          <w:tcPr>
            <w:tcW w:w="1520" w:type="dxa"/>
            <w:tcBorders>
              <w:top w:val="single" w:sz="8" w:space="0" w:color="808080"/>
              <w:left w:val="single" w:sz="8" w:space="0" w:color="808080"/>
              <w:bottom w:val="single" w:sz="8" w:space="0" w:color="808080"/>
              <w:right w:val="single" w:sz="8" w:space="0" w:color="808080"/>
            </w:tcBorders>
            <w:shd w:val="clear" w:color="000000" w:fill="E2EFDA"/>
            <w:vAlign w:val="center"/>
            <w:hideMark/>
          </w:tcPr>
          <w:p w:rsidR="00337EAB" w:rsidRPr="00337EAB" w:rsidRDefault="00337EAB" w:rsidP="00337EAB">
            <w:pPr>
              <w:spacing w:after="0" w:line="240" w:lineRule="auto"/>
              <w:jc w:val="center"/>
              <w:rPr>
                <w:rFonts w:eastAsia="Times New Roman" w:cstheme="minorHAnsi"/>
                <w:b/>
                <w:bCs/>
                <w:color w:val="3A3838"/>
                <w:sz w:val="16"/>
                <w:szCs w:val="16"/>
              </w:rPr>
            </w:pPr>
            <w:r w:rsidRPr="00337EAB">
              <w:rPr>
                <w:rFonts w:eastAsia="Times New Roman" w:cstheme="minorHAnsi"/>
                <w:b/>
                <w:bCs/>
                <w:color w:val="3A3838"/>
                <w:sz w:val="16"/>
                <w:szCs w:val="16"/>
              </w:rPr>
              <w:t>New</w:t>
            </w:r>
          </w:p>
        </w:tc>
        <w:tc>
          <w:tcPr>
            <w:tcW w:w="1753" w:type="dxa"/>
            <w:tcBorders>
              <w:top w:val="single" w:sz="8" w:space="0" w:color="808080"/>
              <w:left w:val="single" w:sz="8" w:space="0" w:color="808080"/>
              <w:bottom w:val="single" w:sz="8" w:space="0" w:color="808080"/>
              <w:right w:val="single" w:sz="8" w:space="0" w:color="808080"/>
            </w:tcBorders>
            <w:shd w:val="clear" w:color="000000" w:fill="E2EFDA"/>
            <w:vAlign w:val="center"/>
            <w:hideMark/>
          </w:tcPr>
          <w:p w:rsidR="00337EAB" w:rsidRPr="00337EAB" w:rsidRDefault="00337EAB" w:rsidP="00337EAB">
            <w:pPr>
              <w:spacing w:after="0" w:line="240" w:lineRule="auto"/>
              <w:jc w:val="center"/>
              <w:rPr>
                <w:rFonts w:eastAsia="Times New Roman" w:cstheme="minorHAnsi"/>
                <w:b/>
                <w:bCs/>
                <w:color w:val="3A3838"/>
                <w:sz w:val="16"/>
                <w:szCs w:val="16"/>
              </w:rPr>
            </w:pPr>
            <w:r w:rsidRPr="00337EAB">
              <w:rPr>
                <w:rFonts w:eastAsia="Times New Roman" w:cstheme="minorHAnsi"/>
                <w:b/>
                <w:bCs/>
                <w:color w:val="3A3838"/>
                <w:sz w:val="16"/>
                <w:szCs w:val="16"/>
              </w:rPr>
              <w:t>Amendments</w:t>
            </w:r>
          </w:p>
        </w:tc>
        <w:tc>
          <w:tcPr>
            <w:tcW w:w="1132" w:type="dxa"/>
            <w:tcBorders>
              <w:top w:val="single" w:sz="8" w:space="0" w:color="808080"/>
              <w:left w:val="single" w:sz="8" w:space="0" w:color="808080"/>
              <w:bottom w:val="single" w:sz="8" w:space="0" w:color="808080"/>
              <w:right w:val="single" w:sz="8" w:space="0" w:color="808080"/>
            </w:tcBorders>
            <w:shd w:val="clear" w:color="000000" w:fill="E2EFDA"/>
            <w:vAlign w:val="center"/>
            <w:hideMark/>
          </w:tcPr>
          <w:p w:rsidR="00337EAB" w:rsidRPr="00337EAB" w:rsidRDefault="00337EAB" w:rsidP="00337EAB">
            <w:pPr>
              <w:spacing w:after="0" w:line="240" w:lineRule="auto"/>
              <w:jc w:val="center"/>
              <w:rPr>
                <w:rFonts w:eastAsia="Times New Roman" w:cstheme="minorHAnsi"/>
                <w:b/>
                <w:bCs/>
                <w:color w:val="3A3838"/>
                <w:sz w:val="16"/>
                <w:szCs w:val="16"/>
              </w:rPr>
            </w:pPr>
            <w:r w:rsidRPr="00337EAB">
              <w:rPr>
                <w:rFonts w:eastAsia="Times New Roman" w:cstheme="minorHAnsi"/>
                <w:b/>
                <w:bCs/>
                <w:color w:val="3A3838"/>
                <w:sz w:val="16"/>
                <w:szCs w:val="16"/>
              </w:rPr>
              <w:t xml:space="preserve">Leader </w:t>
            </w:r>
            <w:r w:rsidRPr="00337EAB">
              <w:rPr>
                <w:rFonts w:eastAsia="Times New Roman" w:cstheme="minorHAnsi"/>
                <w:b/>
                <w:bCs/>
                <w:color w:val="3A3838"/>
                <w:sz w:val="16"/>
                <w:szCs w:val="16"/>
              </w:rPr>
              <w:br/>
            </w:r>
            <w:r w:rsidRPr="00337EAB">
              <w:rPr>
                <w:rFonts w:eastAsia="Times New Roman" w:cstheme="minorHAnsi"/>
                <w:i/>
                <w:iCs/>
                <w:color w:val="3A3838"/>
                <w:sz w:val="16"/>
                <w:szCs w:val="16"/>
              </w:rPr>
              <w:t>(incl. contact point)</w:t>
            </w:r>
          </w:p>
        </w:tc>
        <w:tc>
          <w:tcPr>
            <w:tcW w:w="1102" w:type="dxa"/>
            <w:tcBorders>
              <w:top w:val="single" w:sz="8" w:space="0" w:color="808080"/>
              <w:left w:val="single" w:sz="8" w:space="0" w:color="808080"/>
              <w:bottom w:val="single" w:sz="8" w:space="0" w:color="808080"/>
              <w:right w:val="single" w:sz="8" w:space="0" w:color="808080"/>
            </w:tcBorders>
            <w:shd w:val="clear" w:color="000000" w:fill="E2EFDA"/>
            <w:vAlign w:val="center"/>
            <w:hideMark/>
          </w:tcPr>
          <w:p w:rsidR="00337EAB" w:rsidRPr="00337EAB" w:rsidRDefault="00337EAB" w:rsidP="00337EAB">
            <w:pPr>
              <w:spacing w:after="0" w:line="240" w:lineRule="auto"/>
              <w:jc w:val="center"/>
              <w:rPr>
                <w:rFonts w:eastAsia="Times New Roman" w:cstheme="minorHAnsi"/>
                <w:b/>
                <w:bCs/>
                <w:color w:val="3A3838"/>
                <w:sz w:val="16"/>
                <w:szCs w:val="16"/>
              </w:rPr>
            </w:pPr>
            <w:r w:rsidRPr="00337EAB">
              <w:rPr>
                <w:rFonts w:eastAsia="Times New Roman" w:cstheme="minorHAnsi"/>
                <w:b/>
                <w:bCs/>
                <w:color w:val="3A3838"/>
                <w:sz w:val="16"/>
                <w:szCs w:val="16"/>
              </w:rPr>
              <w:t>Partner(s)</w:t>
            </w:r>
          </w:p>
        </w:tc>
        <w:tc>
          <w:tcPr>
            <w:tcW w:w="1842" w:type="dxa"/>
            <w:vMerge/>
            <w:tcBorders>
              <w:top w:val="single" w:sz="8" w:space="0" w:color="808080"/>
              <w:left w:val="single" w:sz="8" w:space="0" w:color="808080"/>
              <w:bottom w:val="single" w:sz="8" w:space="0" w:color="808080"/>
              <w:right w:val="single" w:sz="8" w:space="0" w:color="808080"/>
            </w:tcBorders>
            <w:vAlign w:val="center"/>
            <w:hideMark/>
          </w:tcPr>
          <w:p w:rsidR="00337EAB" w:rsidRPr="00337EAB" w:rsidRDefault="00337EAB" w:rsidP="00337EAB">
            <w:pPr>
              <w:spacing w:after="0" w:line="240" w:lineRule="auto"/>
              <w:rPr>
                <w:rFonts w:eastAsia="Times New Roman" w:cstheme="minorHAnsi"/>
                <w:b/>
                <w:bCs/>
                <w:sz w:val="16"/>
                <w:szCs w:val="16"/>
              </w:rPr>
            </w:pPr>
          </w:p>
        </w:tc>
        <w:tc>
          <w:tcPr>
            <w:tcW w:w="1476" w:type="dxa"/>
            <w:vMerge/>
            <w:tcBorders>
              <w:top w:val="single" w:sz="8" w:space="0" w:color="808080"/>
              <w:left w:val="single" w:sz="8" w:space="0" w:color="808080"/>
              <w:bottom w:val="single" w:sz="8" w:space="0" w:color="808080"/>
              <w:right w:val="single" w:sz="8" w:space="0" w:color="808080"/>
            </w:tcBorders>
          </w:tcPr>
          <w:p w:rsidR="00337EAB" w:rsidRPr="00337EAB" w:rsidRDefault="00337EAB" w:rsidP="00337EAB">
            <w:pPr>
              <w:spacing w:after="0" w:line="240" w:lineRule="auto"/>
              <w:rPr>
                <w:rFonts w:eastAsia="Times New Roman" w:cstheme="minorHAnsi"/>
                <w:b/>
                <w:bCs/>
                <w:sz w:val="16"/>
                <w:szCs w:val="16"/>
              </w:rPr>
            </w:pPr>
          </w:p>
        </w:tc>
      </w:tr>
      <w:tr w:rsidR="00337EAB" w:rsidRPr="00337EAB" w:rsidTr="00EE31B6">
        <w:trPr>
          <w:trHeight w:val="2652"/>
        </w:trPr>
        <w:tc>
          <w:tcPr>
            <w:tcW w:w="1523" w:type="dxa"/>
            <w:tcBorders>
              <w:top w:val="single" w:sz="8" w:space="0" w:color="808080"/>
              <w:left w:val="single" w:sz="4" w:space="0" w:color="auto"/>
              <w:bottom w:val="single" w:sz="8" w:space="0" w:color="808080"/>
              <w:right w:val="single" w:sz="4" w:space="0" w:color="auto"/>
            </w:tcBorders>
            <w:shd w:val="clear" w:color="auto" w:fill="auto"/>
            <w:hideMark/>
          </w:tcPr>
          <w:p w:rsidR="00337EAB" w:rsidRPr="00337EAB" w:rsidRDefault="00337EAB" w:rsidP="002B38EE">
            <w:pPr>
              <w:spacing w:after="0" w:line="240" w:lineRule="auto"/>
              <w:jc w:val="both"/>
              <w:rPr>
                <w:rFonts w:eastAsia="Times New Roman" w:cstheme="minorHAnsi"/>
                <w:color w:val="000000"/>
                <w:sz w:val="16"/>
                <w:szCs w:val="16"/>
              </w:rPr>
            </w:pPr>
            <w:r w:rsidRPr="00337EAB">
              <w:rPr>
                <w:rFonts w:eastAsia="Times New Roman" w:cstheme="minorHAnsi"/>
                <w:color w:val="000000"/>
                <w:sz w:val="16"/>
                <w:szCs w:val="16"/>
              </w:rPr>
              <w:t xml:space="preserve">Directive 2007/44/EC of the European Parliament and of the Council of 5 September 2007 amending Council Directive 92/49/EEC and Directives 2002/83/EC, 2004/39/EC, 2005/68/EC and 2006/48/EC as regards procedural rules and evaluation criteria for the prudential assessment of acquisitions and increase of holdings in the financial sector </w:t>
            </w:r>
          </w:p>
        </w:tc>
        <w:tc>
          <w:tcPr>
            <w:tcW w:w="1176" w:type="dxa"/>
            <w:tcBorders>
              <w:top w:val="single" w:sz="8" w:space="0" w:color="808080"/>
              <w:left w:val="nil"/>
              <w:bottom w:val="single" w:sz="8" w:space="0" w:color="808080"/>
              <w:right w:val="single" w:sz="4" w:space="0" w:color="auto"/>
            </w:tcBorders>
            <w:shd w:val="clear" w:color="auto" w:fill="auto"/>
            <w:hideMark/>
          </w:tcPr>
          <w:p w:rsidR="00337EAB" w:rsidRPr="00337EAB" w:rsidRDefault="00337EAB" w:rsidP="002B38EE">
            <w:pPr>
              <w:spacing w:after="0" w:line="240" w:lineRule="auto"/>
              <w:jc w:val="both"/>
              <w:rPr>
                <w:rFonts w:eastAsia="Times New Roman" w:cstheme="minorHAnsi"/>
                <w:color w:val="000000"/>
                <w:sz w:val="16"/>
                <w:szCs w:val="16"/>
              </w:rPr>
            </w:pPr>
            <w:r w:rsidRPr="00337EAB">
              <w:rPr>
                <w:rFonts w:eastAsia="Times New Roman" w:cstheme="minorHAnsi"/>
                <w:color w:val="000000"/>
                <w:sz w:val="16"/>
                <w:szCs w:val="16"/>
              </w:rPr>
              <w:t>Has been repealed by Directive 2014/65/EU of the European Parliament and of the Council of 15 May 2014 on markets in financial instruments and amending Directive 2002/92/EC and Directive 2011/61/EU]</w:t>
            </w:r>
          </w:p>
        </w:tc>
        <w:tc>
          <w:tcPr>
            <w:tcW w:w="1101" w:type="dxa"/>
            <w:tcBorders>
              <w:top w:val="single" w:sz="4" w:space="0" w:color="auto"/>
              <w:left w:val="nil"/>
              <w:bottom w:val="single" w:sz="8" w:space="0" w:color="808080"/>
              <w:right w:val="single" w:sz="4" w:space="0" w:color="auto"/>
            </w:tcBorders>
            <w:shd w:val="clear" w:color="auto" w:fill="auto"/>
            <w:vAlign w:val="center"/>
            <w:hideMark/>
          </w:tcPr>
          <w:p w:rsidR="00337EAB" w:rsidRPr="00337EAB" w:rsidRDefault="00337EAB" w:rsidP="00337EAB">
            <w:pPr>
              <w:spacing w:after="0" w:line="240" w:lineRule="auto"/>
              <w:jc w:val="center"/>
              <w:rPr>
                <w:rFonts w:eastAsia="Times New Roman" w:cstheme="minorHAnsi"/>
                <w:color w:val="000000"/>
                <w:sz w:val="16"/>
                <w:szCs w:val="16"/>
              </w:rPr>
            </w:pPr>
            <w:r w:rsidRPr="00337EAB">
              <w:rPr>
                <w:rFonts w:eastAsia="Times New Roman" w:cstheme="minorHAnsi"/>
                <w:color w:val="000000"/>
                <w:sz w:val="16"/>
                <w:szCs w:val="16"/>
              </w:rPr>
              <w:t>2020</w:t>
            </w:r>
          </w:p>
        </w:tc>
        <w:tc>
          <w:tcPr>
            <w:tcW w:w="852" w:type="dxa"/>
            <w:tcBorders>
              <w:top w:val="single" w:sz="8" w:space="0" w:color="808080"/>
              <w:left w:val="nil"/>
              <w:bottom w:val="single" w:sz="8" w:space="0" w:color="808080"/>
              <w:right w:val="single" w:sz="4" w:space="0" w:color="auto"/>
            </w:tcBorders>
            <w:shd w:val="clear" w:color="auto" w:fill="auto"/>
            <w:vAlign w:val="center"/>
            <w:hideMark/>
          </w:tcPr>
          <w:p w:rsidR="00337EAB" w:rsidRPr="00337EAB" w:rsidRDefault="002B38EE" w:rsidP="002B38EE">
            <w:pPr>
              <w:spacing w:after="0" w:line="240" w:lineRule="auto"/>
              <w:jc w:val="center"/>
              <w:rPr>
                <w:rFonts w:eastAsia="Times New Roman" w:cstheme="minorHAnsi"/>
                <w:color w:val="000000"/>
                <w:sz w:val="16"/>
                <w:szCs w:val="16"/>
              </w:rPr>
            </w:pPr>
            <w:r>
              <w:rPr>
                <w:rFonts w:eastAsia="Times New Roman" w:cstheme="minorHAnsi"/>
                <w:color w:val="000000"/>
                <w:sz w:val="16"/>
                <w:szCs w:val="16"/>
              </w:rPr>
              <w:t>NO</w:t>
            </w:r>
          </w:p>
        </w:tc>
        <w:tc>
          <w:tcPr>
            <w:tcW w:w="1046" w:type="dxa"/>
            <w:tcBorders>
              <w:top w:val="single" w:sz="8" w:space="0" w:color="808080"/>
              <w:left w:val="nil"/>
              <w:bottom w:val="single" w:sz="8" w:space="0" w:color="808080"/>
              <w:right w:val="single" w:sz="4" w:space="0" w:color="auto"/>
            </w:tcBorders>
            <w:shd w:val="clear" w:color="auto" w:fill="auto"/>
            <w:vAlign w:val="center"/>
            <w:hideMark/>
          </w:tcPr>
          <w:p w:rsidR="00337EAB" w:rsidRPr="00337EAB" w:rsidRDefault="00337EAB" w:rsidP="00337EAB">
            <w:pPr>
              <w:spacing w:after="0" w:line="240" w:lineRule="auto"/>
              <w:jc w:val="center"/>
              <w:rPr>
                <w:rFonts w:eastAsia="Times New Roman" w:cstheme="minorHAnsi"/>
                <w:color w:val="000000"/>
                <w:sz w:val="16"/>
                <w:szCs w:val="16"/>
              </w:rPr>
            </w:pPr>
            <w:r w:rsidRPr="00337EAB">
              <w:rPr>
                <w:rFonts w:eastAsia="Times New Roman" w:cstheme="minorHAnsi"/>
                <w:color w:val="000000"/>
                <w:sz w:val="16"/>
                <w:szCs w:val="16"/>
              </w:rPr>
              <w:t> </w:t>
            </w:r>
          </w:p>
        </w:tc>
        <w:tc>
          <w:tcPr>
            <w:tcW w:w="687" w:type="dxa"/>
            <w:tcBorders>
              <w:top w:val="single" w:sz="8" w:space="0" w:color="808080"/>
              <w:left w:val="nil"/>
              <w:bottom w:val="single" w:sz="8" w:space="0" w:color="808080"/>
              <w:right w:val="single" w:sz="4" w:space="0" w:color="auto"/>
            </w:tcBorders>
            <w:shd w:val="clear" w:color="auto" w:fill="auto"/>
            <w:vAlign w:val="center"/>
            <w:hideMark/>
          </w:tcPr>
          <w:p w:rsidR="00337EAB" w:rsidRPr="00337EAB" w:rsidRDefault="00337EAB" w:rsidP="00337EAB">
            <w:pPr>
              <w:spacing w:after="0" w:line="240" w:lineRule="auto"/>
              <w:jc w:val="center"/>
              <w:rPr>
                <w:rFonts w:eastAsia="Times New Roman" w:cstheme="minorHAnsi"/>
                <w:color w:val="000000"/>
                <w:sz w:val="16"/>
                <w:szCs w:val="16"/>
              </w:rPr>
            </w:pPr>
            <w:r w:rsidRPr="00337EAB">
              <w:rPr>
                <w:rFonts w:eastAsia="Times New Roman" w:cstheme="minorHAnsi"/>
                <w:color w:val="000000"/>
                <w:sz w:val="16"/>
                <w:szCs w:val="16"/>
              </w:rPr>
              <w:t> </w:t>
            </w:r>
          </w:p>
        </w:tc>
        <w:tc>
          <w:tcPr>
            <w:tcW w:w="1520" w:type="dxa"/>
            <w:tcBorders>
              <w:top w:val="single" w:sz="8" w:space="0" w:color="808080"/>
              <w:left w:val="nil"/>
              <w:bottom w:val="single" w:sz="8" w:space="0" w:color="808080"/>
              <w:right w:val="single" w:sz="4" w:space="0" w:color="auto"/>
            </w:tcBorders>
            <w:shd w:val="clear" w:color="auto" w:fill="auto"/>
            <w:vAlign w:val="center"/>
            <w:hideMark/>
          </w:tcPr>
          <w:p w:rsidR="00337EAB" w:rsidRPr="00337EAB" w:rsidRDefault="00337EAB" w:rsidP="00337EAB">
            <w:pPr>
              <w:spacing w:after="0" w:line="240" w:lineRule="auto"/>
              <w:jc w:val="center"/>
              <w:rPr>
                <w:rFonts w:eastAsia="Times New Roman" w:cstheme="minorHAnsi"/>
                <w:color w:val="000000"/>
                <w:sz w:val="16"/>
                <w:szCs w:val="16"/>
              </w:rPr>
            </w:pPr>
            <w:r w:rsidRPr="00337EAB">
              <w:rPr>
                <w:rFonts w:eastAsia="Times New Roman" w:cstheme="minorHAnsi"/>
                <w:color w:val="000000"/>
                <w:sz w:val="16"/>
                <w:szCs w:val="16"/>
              </w:rPr>
              <w:t> </w:t>
            </w:r>
          </w:p>
        </w:tc>
        <w:tc>
          <w:tcPr>
            <w:tcW w:w="1753" w:type="dxa"/>
            <w:tcBorders>
              <w:top w:val="single" w:sz="8" w:space="0" w:color="808080"/>
              <w:left w:val="nil"/>
              <w:bottom w:val="single" w:sz="8" w:space="0" w:color="808080"/>
              <w:right w:val="single" w:sz="4" w:space="0" w:color="auto"/>
            </w:tcBorders>
            <w:shd w:val="clear" w:color="000000" w:fill="FFFFFF"/>
            <w:hideMark/>
          </w:tcPr>
          <w:p w:rsidR="00337EAB" w:rsidRPr="00337EAB" w:rsidRDefault="00337EAB" w:rsidP="002B38EE">
            <w:pPr>
              <w:spacing w:after="0" w:line="240" w:lineRule="auto"/>
              <w:jc w:val="center"/>
              <w:rPr>
                <w:rFonts w:eastAsia="Times New Roman" w:cstheme="minorHAnsi"/>
                <w:sz w:val="16"/>
                <w:szCs w:val="16"/>
              </w:rPr>
            </w:pPr>
          </w:p>
        </w:tc>
        <w:tc>
          <w:tcPr>
            <w:tcW w:w="1132" w:type="dxa"/>
            <w:tcBorders>
              <w:top w:val="single" w:sz="8" w:space="0" w:color="808080"/>
              <w:left w:val="nil"/>
              <w:bottom w:val="single" w:sz="8" w:space="0" w:color="808080"/>
              <w:right w:val="single" w:sz="4" w:space="0" w:color="auto"/>
            </w:tcBorders>
            <w:shd w:val="clear" w:color="000000" w:fill="FFFFFF"/>
            <w:hideMark/>
          </w:tcPr>
          <w:p w:rsidR="00337EAB" w:rsidRPr="00337EAB" w:rsidRDefault="00337EAB" w:rsidP="002B38EE">
            <w:pPr>
              <w:spacing w:after="0" w:line="240" w:lineRule="auto"/>
              <w:jc w:val="center"/>
              <w:rPr>
                <w:rFonts w:eastAsia="Times New Roman" w:cstheme="minorHAnsi"/>
                <w:color w:val="000000"/>
                <w:sz w:val="16"/>
                <w:szCs w:val="16"/>
              </w:rPr>
            </w:pPr>
            <w:r w:rsidRPr="00337EAB">
              <w:rPr>
                <w:rFonts w:eastAsia="Times New Roman" w:cstheme="minorHAnsi"/>
                <w:color w:val="000000"/>
                <w:sz w:val="16"/>
                <w:szCs w:val="16"/>
              </w:rPr>
              <w:t>Georgian State Insurance Supervision Service</w:t>
            </w:r>
            <w:bookmarkStart w:id="0" w:name="_GoBack"/>
            <w:bookmarkEnd w:id="0"/>
          </w:p>
        </w:tc>
        <w:tc>
          <w:tcPr>
            <w:tcW w:w="1102" w:type="dxa"/>
            <w:tcBorders>
              <w:top w:val="single" w:sz="8" w:space="0" w:color="808080"/>
              <w:left w:val="nil"/>
              <w:bottom w:val="single" w:sz="8" w:space="0" w:color="808080"/>
              <w:right w:val="single" w:sz="4" w:space="0" w:color="auto"/>
            </w:tcBorders>
            <w:shd w:val="clear" w:color="auto" w:fill="auto"/>
            <w:hideMark/>
          </w:tcPr>
          <w:p w:rsidR="00337EAB" w:rsidRPr="00337EAB" w:rsidRDefault="00337EAB" w:rsidP="002B38EE">
            <w:pPr>
              <w:spacing w:after="0" w:line="240" w:lineRule="auto"/>
              <w:jc w:val="center"/>
              <w:rPr>
                <w:rFonts w:eastAsia="Times New Roman" w:cstheme="minorHAnsi"/>
                <w:color w:val="000000"/>
                <w:sz w:val="16"/>
                <w:szCs w:val="16"/>
              </w:rPr>
            </w:pPr>
          </w:p>
        </w:tc>
        <w:tc>
          <w:tcPr>
            <w:tcW w:w="1842" w:type="dxa"/>
            <w:tcBorders>
              <w:top w:val="single" w:sz="8" w:space="0" w:color="808080"/>
              <w:left w:val="nil"/>
              <w:bottom w:val="single" w:sz="8" w:space="0" w:color="808080"/>
              <w:right w:val="single" w:sz="4" w:space="0" w:color="auto"/>
            </w:tcBorders>
            <w:shd w:val="clear" w:color="000000" w:fill="FFFFFF"/>
            <w:hideMark/>
          </w:tcPr>
          <w:p w:rsidR="00337EAB" w:rsidRPr="00337EAB" w:rsidRDefault="00337EAB" w:rsidP="002B38EE">
            <w:pPr>
              <w:spacing w:after="0" w:line="240" w:lineRule="auto"/>
              <w:jc w:val="center"/>
              <w:rPr>
                <w:rFonts w:eastAsia="Times New Roman" w:cstheme="minorHAnsi"/>
                <w:color w:val="000000"/>
                <w:sz w:val="16"/>
                <w:szCs w:val="16"/>
              </w:rPr>
            </w:pPr>
            <w:r w:rsidRPr="00337EAB">
              <w:rPr>
                <w:rFonts w:eastAsia="Times New Roman" w:cstheme="minorHAnsi"/>
                <w:color w:val="000000"/>
                <w:sz w:val="16"/>
                <w:szCs w:val="16"/>
              </w:rPr>
              <w:t xml:space="preserve">NAP 2019 considers the Directive partially implemented (as discussed at AA Council </w:t>
            </w:r>
            <w:r>
              <w:rPr>
                <w:rFonts w:eastAsia="Times New Roman" w:cstheme="minorHAnsi"/>
                <w:color w:val="000000"/>
                <w:sz w:val="16"/>
                <w:szCs w:val="16"/>
              </w:rPr>
              <w:t>S</w:t>
            </w:r>
            <w:r w:rsidRPr="00337EAB">
              <w:rPr>
                <w:rFonts w:eastAsia="Times New Roman" w:cstheme="minorHAnsi"/>
                <w:color w:val="000000"/>
                <w:sz w:val="16"/>
                <w:szCs w:val="16"/>
              </w:rPr>
              <w:t>ubcommittee on trade)</w:t>
            </w:r>
          </w:p>
        </w:tc>
        <w:tc>
          <w:tcPr>
            <w:tcW w:w="1476" w:type="dxa"/>
            <w:tcBorders>
              <w:top w:val="single" w:sz="8" w:space="0" w:color="808080"/>
              <w:left w:val="nil"/>
              <w:bottom w:val="single" w:sz="8" w:space="0" w:color="808080"/>
              <w:right w:val="single" w:sz="4" w:space="0" w:color="auto"/>
            </w:tcBorders>
            <w:shd w:val="clear" w:color="000000" w:fill="FFFFFF"/>
          </w:tcPr>
          <w:p w:rsidR="00337EAB" w:rsidRPr="00337EAB" w:rsidRDefault="00337EAB" w:rsidP="00337EAB">
            <w:pPr>
              <w:spacing w:after="0" w:line="240" w:lineRule="auto"/>
              <w:jc w:val="center"/>
              <w:rPr>
                <w:rFonts w:eastAsia="Times New Roman" w:cstheme="minorHAnsi"/>
                <w:color w:val="000000"/>
                <w:sz w:val="16"/>
                <w:szCs w:val="16"/>
              </w:rPr>
            </w:pPr>
          </w:p>
        </w:tc>
      </w:tr>
      <w:tr w:rsidR="00337EAB" w:rsidRPr="00337EAB" w:rsidTr="00962FAA">
        <w:trPr>
          <w:trHeight w:val="2352"/>
        </w:trPr>
        <w:tc>
          <w:tcPr>
            <w:tcW w:w="1523" w:type="dxa"/>
            <w:tcBorders>
              <w:top w:val="single" w:sz="8" w:space="0" w:color="808080"/>
              <w:left w:val="single" w:sz="8" w:space="0" w:color="808080"/>
              <w:bottom w:val="single" w:sz="8" w:space="0" w:color="808080"/>
              <w:right w:val="single" w:sz="8" w:space="0" w:color="808080"/>
            </w:tcBorders>
            <w:shd w:val="clear" w:color="auto" w:fill="auto"/>
            <w:hideMark/>
          </w:tcPr>
          <w:p w:rsidR="00337EAB" w:rsidRPr="00337EAB" w:rsidRDefault="00337EAB" w:rsidP="002B38EE">
            <w:pPr>
              <w:spacing w:after="0" w:line="240" w:lineRule="auto"/>
              <w:jc w:val="both"/>
              <w:rPr>
                <w:rFonts w:eastAsia="Times New Roman" w:cstheme="minorHAnsi"/>
                <w:color w:val="000000"/>
                <w:sz w:val="16"/>
                <w:szCs w:val="16"/>
              </w:rPr>
            </w:pPr>
            <w:r w:rsidRPr="00337EAB">
              <w:rPr>
                <w:rFonts w:eastAsia="Times New Roman" w:cstheme="minorHAnsi"/>
                <w:color w:val="000000"/>
                <w:sz w:val="16"/>
                <w:szCs w:val="16"/>
              </w:rPr>
              <w:t>Directive 2009/138/EC of the European Parliament and of the Council of 25 November 2009 on the taking-up and pursuit of the business of Insurance and Reinsurance (Solvency II)</w:t>
            </w:r>
          </w:p>
        </w:tc>
        <w:tc>
          <w:tcPr>
            <w:tcW w:w="1176" w:type="dxa"/>
            <w:tcBorders>
              <w:top w:val="single" w:sz="8" w:space="0" w:color="808080"/>
              <w:left w:val="single" w:sz="8" w:space="0" w:color="808080"/>
              <w:bottom w:val="single" w:sz="8" w:space="0" w:color="808080"/>
              <w:right w:val="single" w:sz="8" w:space="0" w:color="808080"/>
            </w:tcBorders>
            <w:shd w:val="clear" w:color="auto" w:fill="auto"/>
            <w:hideMark/>
          </w:tcPr>
          <w:p w:rsidR="00337EAB" w:rsidRPr="00337EAB" w:rsidRDefault="00337EAB" w:rsidP="002B38EE">
            <w:pPr>
              <w:spacing w:after="0" w:line="240" w:lineRule="auto"/>
              <w:jc w:val="both"/>
              <w:rPr>
                <w:rFonts w:eastAsia="Times New Roman" w:cstheme="minorHAnsi"/>
                <w:sz w:val="16"/>
                <w:szCs w:val="16"/>
              </w:rPr>
            </w:pPr>
            <w:r w:rsidRPr="00337EAB">
              <w:rPr>
                <w:rFonts w:eastAsia="Times New Roman" w:cstheme="minorHAnsi"/>
                <w:sz w:val="16"/>
                <w:szCs w:val="16"/>
              </w:rPr>
              <w:t> </w:t>
            </w:r>
          </w:p>
        </w:tc>
        <w:tc>
          <w:tcPr>
            <w:tcW w:w="1101"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337EAB" w:rsidRPr="00337EAB" w:rsidRDefault="00337EAB" w:rsidP="00337EAB">
            <w:pPr>
              <w:spacing w:after="0" w:line="240" w:lineRule="auto"/>
              <w:jc w:val="center"/>
              <w:rPr>
                <w:rFonts w:eastAsia="Times New Roman" w:cstheme="minorHAnsi"/>
                <w:color w:val="000000"/>
                <w:sz w:val="16"/>
                <w:szCs w:val="16"/>
              </w:rPr>
            </w:pPr>
            <w:r w:rsidRPr="00337EAB">
              <w:rPr>
                <w:rFonts w:eastAsia="Times New Roman" w:cstheme="minorHAnsi"/>
                <w:color w:val="000000"/>
                <w:sz w:val="16"/>
                <w:szCs w:val="16"/>
              </w:rPr>
              <w:t>2020</w:t>
            </w:r>
          </w:p>
        </w:tc>
        <w:tc>
          <w:tcPr>
            <w:tcW w:w="852"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337EAB" w:rsidRPr="00337EAB" w:rsidRDefault="00460794" w:rsidP="00460794">
            <w:pPr>
              <w:spacing w:after="0" w:line="240" w:lineRule="auto"/>
              <w:jc w:val="center"/>
              <w:rPr>
                <w:rFonts w:eastAsia="Times New Roman" w:cstheme="minorHAnsi"/>
                <w:color w:val="000000"/>
                <w:sz w:val="16"/>
                <w:szCs w:val="16"/>
              </w:rPr>
            </w:pPr>
            <w:r>
              <w:rPr>
                <w:rFonts w:eastAsia="Times New Roman" w:cstheme="minorHAnsi"/>
                <w:color w:val="000000"/>
                <w:sz w:val="16"/>
                <w:szCs w:val="16"/>
              </w:rPr>
              <w:t>NO</w:t>
            </w:r>
          </w:p>
        </w:tc>
        <w:tc>
          <w:tcPr>
            <w:tcW w:w="10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337EAB" w:rsidRPr="00337EAB" w:rsidRDefault="00337EAB" w:rsidP="00337EAB">
            <w:pPr>
              <w:spacing w:after="0" w:line="240" w:lineRule="auto"/>
              <w:jc w:val="center"/>
              <w:rPr>
                <w:rFonts w:eastAsia="Times New Roman" w:cstheme="minorHAnsi"/>
                <w:color w:val="000000"/>
                <w:sz w:val="16"/>
                <w:szCs w:val="16"/>
              </w:rPr>
            </w:pPr>
          </w:p>
        </w:tc>
        <w:tc>
          <w:tcPr>
            <w:tcW w:w="687" w:type="dxa"/>
            <w:tcBorders>
              <w:top w:val="single" w:sz="8" w:space="0" w:color="808080"/>
              <w:left w:val="single" w:sz="8" w:space="0" w:color="808080"/>
              <w:bottom w:val="single" w:sz="8" w:space="0" w:color="808080"/>
              <w:right w:val="single" w:sz="8" w:space="0" w:color="808080"/>
            </w:tcBorders>
            <w:shd w:val="clear" w:color="auto" w:fill="auto"/>
            <w:vAlign w:val="center"/>
          </w:tcPr>
          <w:p w:rsidR="00337EAB" w:rsidRPr="00337EAB" w:rsidRDefault="00337EAB" w:rsidP="00337EAB">
            <w:pPr>
              <w:spacing w:after="0" w:line="240" w:lineRule="auto"/>
              <w:jc w:val="center"/>
              <w:rPr>
                <w:rFonts w:eastAsia="Times New Roman" w:cstheme="minorHAnsi"/>
                <w:color w:val="000000"/>
                <w:sz w:val="16"/>
                <w:szCs w:val="16"/>
              </w:rPr>
            </w:pPr>
          </w:p>
        </w:tc>
        <w:tc>
          <w:tcPr>
            <w:tcW w:w="1520"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337EAB" w:rsidRPr="00337EAB" w:rsidRDefault="00337EAB" w:rsidP="00337EAB">
            <w:pPr>
              <w:spacing w:after="0" w:line="240" w:lineRule="auto"/>
              <w:jc w:val="center"/>
              <w:rPr>
                <w:rFonts w:eastAsia="Times New Roman" w:cstheme="minorHAnsi"/>
                <w:color w:val="000000"/>
                <w:sz w:val="16"/>
                <w:szCs w:val="16"/>
              </w:rPr>
            </w:pPr>
            <w:r w:rsidRPr="00337EAB">
              <w:rPr>
                <w:rFonts w:eastAsia="Times New Roman" w:cstheme="minorHAnsi"/>
                <w:color w:val="000000"/>
                <w:sz w:val="16"/>
                <w:szCs w:val="16"/>
              </w:rPr>
              <w:t> </w:t>
            </w:r>
          </w:p>
        </w:tc>
        <w:tc>
          <w:tcPr>
            <w:tcW w:w="1753" w:type="dxa"/>
            <w:tcBorders>
              <w:top w:val="single" w:sz="8" w:space="0" w:color="808080"/>
              <w:left w:val="single" w:sz="8" w:space="0" w:color="808080"/>
              <w:bottom w:val="single" w:sz="8" w:space="0" w:color="808080"/>
              <w:right w:val="single" w:sz="8" w:space="0" w:color="808080"/>
            </w:tcBorders>
            <w:shd w:val="clear" w:color="auto" w:fill="auto"/>
            <w:hideMark/>
          </w:tcPr>
          <w:p w:rsidR="00337EAB" w:rsidRPr="00337EAB" w:rsidRDefault="00337EAB" w:rsidP="002B38EE">
            <w:pPr>
              <w:spacing w:after="0" w:line="240" w:lineRule="auto"/>
              <w:jc w:val="center"/>
              <w:rPr>
                <w:rFonts w:eastAsia="Times New Roman" w:cstheme="minorHAnsi"/>
                <w:sz w:val="16"/>
                <w:szCs w:val="16"/>
              </w:rPr>
            </w:pPr>
          </w:p>
        </w:tc>
        <w:tc>
          <w:tcPr>
            <w:tcW w:w="1132" w:type="dxa"/>
            <w:tcBorders>
              <w:top w:val="single" w:sz="8" w:space="0" w:color="808080"/>
              <w:left w:val="single" w:sz="8" w:space="0" w:color="808080"/>
              <w:bottom w:val="single" w:sz="8" w:space="0" w:color="808080"/>
              <w:right w:val="single" w:sz="8" w:space="0" w:color="808080"/>
            </w:tcBorders>
            <w:shd w:val="clear" w:color="auto" w:fill="auto"/>
            <w:hideMark/>
          </w:tcPr>
          <w:p w:rsidR="00337EAB" w:rsidRPr="00337EAB" w:rsidRDefault="00337EAB" w:rsidP="002B38EE">
            <w:pPr>
              <w:spacing w:after="0" w:line="240" w:lineRule="auto"/>
              <w:jc w:val="center"/>
              <w:rPr>
                <w:rFonts w:eastAsia="Times New Roman" w:cstheme="minorHAnsi"/>
                <w:color w:val="000000"/>
                <w:sz w:val="16"/>
                <w:szCs w:val="16"/>
              </w:rPr>
            </w:pPr>
            <w:r w:rsidRPr="00337EAB">
              <w:rPr>
                <w:rFonts w:eastAsia="Times New Roman" w:cstheme="minorHAnsi"/>
                <w:color w:val="000000"/>
                <w:sz w:val="16"/>
                <w:szCs w:val="16"/>
              </w:rPr>
              <w:t>Georgian State Insurance Supervision Service</w:t>
            </w:r>
          </w:p>
        </w:tc>
        <w:tc>
          <w:tcPr>
            <w:tcW w:w="1102" w:type="dxa"/>
            <w:tcBorders>
              <w:top w:val="single" w:sz="8" w:space="0" w:color="808080"/>
              <w:left w:val="single" w:sz="8" w:space="0" w:color="808080"/>
              <w:bottom w:val="single" w:sz="8" w:space="0" w:color="808080"/>
              <w:right w:val="single" w:sz="8" w:space="0" w:color="808080"/>
            </w:tcBorders>
            <w:shd w:val="clear" w:color="auto" w:fill="auto"/>
            <w:hideMark/>
          </w:tcPr>
          <w:p w:rsidR="00337EAB" w:rsidRPr="00337EAB" w:rsidRDefault="00337EAB" w:rsidP="002B38EE">
            <w:pPr>
              <w:spacing w:after="0" w:line="240" w:lineRule="auto"/>
              <w:jc w:val="center"/>
              <w:rPr>
                <w:rFonts w:eastAsia="Times New Roman" w:cstheme="minorHAnsi"/>
                <w:color w:val="000000"/>
                <w:sz w:val="16"/>
                <w:szCs w:val="16"/>
              </w:rPr>
            </w:pPr>
          </w:p>
        </w:tc>
        <w:tc>
          <w:tcPr>
            <w:tcW w:w="1842" w:type="dxa"/>
            <w:tcBorders>
              <w:top w:val="single" w:sz="8" w:space="0" w:color="808080"/>
              <w:left w:val="single" w:sz="8" w:space="0" w:color="808080"/>
              <w:bottom w:val="single" w:sz="8" w:space="0" w:color="808080"/>
              <w:right w:val="single" w:sz="8" w:space="0" w:color="808080"/>
            </w:tcBorders>
            <w:shd w:val="clear" w:color="auto" w:fill="auto"/>
            <w:hideMark/>
          </w:tcPr>
          <w:p w:rsidR="00337EAB" w:rsidRPr="00337EAB" w:rsidRDefault="00337EAB" w:rsidP="002B38EE">
            <w:pPr>
              <w:spacing w:after="0" w:line="240" w:lineRule="auto"/>
              <w:jc w:val="center"/>
              <w:rPr>
                <w:rFonts w:eastAsia="Times New Roman" w:cstheme="minorHAnsi"/>
                <w:sz w:val="16"/>
                <w:szCs w:val="16"/>
              </w:rPr>
            </w:pPr>
            <w:r w:rsidRPr="00337EAB">
              <w:rPr>
                <w:rFonts w:eastAsia="Times New Roman" w:cstheme="minorHAnsi"/>
                <w:sz w:val="16"/>
                <w:szCs w:val="16"/>
              </w:rPr>
              <w:t xml:space="preserve">The NAP Implementation Report 2019 </w:t>
            </w:r>
            <w:r w:rsidR="001B2CE3" w:rsidRPr="00337EAB">
              <w:rPr>
                <w:rFonts w:eastAsia="Times New Roman" w:cstheme="minorHAnsi"/>
                <w:sz w:val="16"/>
                <w:szCs w:val="16"/>
              </w:rPr>
              <w:t>marks</w:t>
            </w:r>
            <w:r w:rsidRPr="00337EAB">
              <w:rPr>
                <w:rFonts w:eastAsia="Times New Roman" w:cstheme="minorHAnsi"/>
                <w:sz w:val="16"/>
                <w:szCs w:val="16"/>
              </w:rPr>
              <w:t xml:space="preserve"> the task as </w:t>
            </w:r>
            <w:r w:rsidR="001B2CE3" w:rsidRPr="00337EAB">
              <w:rPr>
                <w:rFonts w:eastAsia="Times New Roman" w:cstheme="minorHAnsi"/>
                <w:sz w:val="16"/>
                <w:szCs w:val="16"/>
              </w:rPr>
              <w:t>largely</w:t>
            </w:r>
            <w:r w:rsidRPr="00337EAB">
              <w:rPr>
                <w:rFonts w:eastAsia="Times New Roman" w:cstheme="minorHAnsi"/>
                <w:sz w:val="16"/>
                <w:szCs w:val="16"/>
              </w:rPr>
              <w:t xml:space="preserve"> implemented</w:t>
            </w:r>
          </w:p>
        </w:tc>
        <w:tc>
          <w:tcPr>
            <w:tcW w:w="1476" w:type="dxa"/>
            <w:tcBorders>
              <w:top w:val="single" w:sz="8" w:space="0" w:color="808080"/>
              <w:left w:val="single" w:sz="8" w:space="0" w:color="808080"/>
              <w:bottom w:val="single" w:sz="8" w:space="0" w:color="808080"/>
              <w:right w:val="single" w:sz="8" w:space="0" w:color="808080"/>
            </w:tcBorders>
            <w:shd w:val="clear" w:color="auto" w:fill="auto"/>
          </w:tcPr>
          <w:p w:rsidR="00337EAB" w:rsidRPr="00337EAB" w:rsidRDefault="00337EAB" w:rsidP="00337EAB">
            <w:pPr>
              <w:spacing w:after="0" w:line="240" w:lineRule="auto"/>
              <w:jc w:val="center"/>
              <w:rPr>
                <w:rFonts w:eastAsia="Times New Roman" w:cstheme="minorHAnsi"/>
                <w:sz w:val="16"/>
                <w:szCs w:val="16"/>
              </w:rPr>
            </w:pPr>
          </w:p>
        </w:tc>
      </w:tr>
      <w:tr w:rsidR="00337EAB" w:rsidRPr="00337EAB" w:rsidTr="00962FAA">
        <w:trPr>
          <w:trHeight w:val="1536"/>
        </w:trPr>
        <w:tc>
          <w:tcPr>
            <w:tcW w:w="1523" w:type="dxa"/>
            <w:tcBorders>
              <w:top w:val="single" w:sz="8" w:space="0" w:color="808080"/>
              <w:left w:val="single" w:sz="8" w:space="0" w:color="808080"/>
              <w:bottom w:val="single" w:sz="8" w:space="0" w:color="808080"/>
              <w:right w:val="single" w:sz="8" w:space="0" w:color="808080"/>
            </w:tcBorders>
            <w:shd w:val="clear" w:color="auto" w:fill="auto"/>
            <w:hideMark/>
          </w:tcPr>
          <w:p w:rsidR="00337EAB" w:rsidRPr="00337EAB" w:rsidRDefault="00337EAB" w:rsidP="002B38EE">
            <w:pPr>
              <w:spacing w:after="0" w:line="240" w:lineRule="auto"/>
              <w:jc w:val="both"/>
              <w:rPr>
                <w:rFonts w:eastAsia="Times New Roman" w:cstheme="minorHAnsi"/>
                <w:color w:val="000000"/>
                <w:sz w:val="16"/>
                <w:szCs w:val="16"/>
              </w:rPr>
            </w:pPr>
            <w:r w:rsidRPr="00337EAB">
              <w:rPr>
                <w:rFonts w:eastAsia="Times New Roman" w:cstheme="minorHAnsi"/>
                <w:color w:val="000000"/>
                <w:sz w:val="16"/>
                <w:szCs w:val="16"/>
              </w:rPr>
              <w:lastRenderedPageBreak/>
              <w:t>Council Directive 91/674/EEC of 19 December 1991 on the annual accounts and consolidated accounts of insurance undertakings</w:t>
            </w:r>
          </w:p>
        </w:tc>
        <w:tc>
          <w:tcPr>
            <w:tcW w:w="1176" w:type="dxa"/>
            <w:tcBorders>
              <w:top w:val="single" w:sz="8" w:space="0" w:color="808080"/>
              <w:left w:val="single" w:sz="8" w:space="0" w:color="808080"/>
              <w:bottom w:val="single" w:sz="8" w:space="0" w:color="808080"/>
              <w:right w:val="single" w:sz="8" w:space="0" w:color="808080"/>
            </w:tcBorders>
            <w:shd w:val="clear" w:color="auto" w:fill="auto"/>
            <w:hideMark/>
          </w:tcPr>
          <w:p w:rsidR="00337EAB" w:rsidRPr="00337EAB" w:rsidRDefault="00337EAB" w:rsidP="002B38EE">
            <w:pPr>
              <w:spacing w:after="0" w:line="240" w:lineRule="auto"/>
              <w:jc w:val="both"/>
              <w:rPr>
                <w:rFonts w:eastAsia="Times New Roman" w:cstheme="minorHAnsi"/>
                <w:sz w:val="16"/>
                <w:szCs w:val="16"/>
              </w:rPr>
            </w:pPr>
            <w:r w:rsidRPr="00337EAB">
              <w:rPr>
                <w:rFonts w:eastAsia="Times New Roman" w:cstheme="minorHAnsi"/>
                <w:sz w:val="16"/>
                <w:szCs w:val="16"/>
              </w:rPr>
              <w:t> </w:t>
            </w:r>
          </w:p>
        </w:tc>
        <w:tc>
          <w:tcPr>
            <w:tcW w:w="1101"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337EAB" w:rsidRPr="00337EAB" w:rsidRDefault="00337EAB" w:rsidP="00337EAB">
            <w:pPr>
              <w:spacing w:after="0" w:line="240" w:lineRule="auto"/>
              <w:jc w:val="center"/>
              <w:rPr>
                <w:rFonts w:eastAsia="Times New Roman" w:cstheme="minorHAnsi"/>
                <w:color w:val="000000"/>
                <w:sz w:val="16"/>
                <w:szCs w:val="16"/>
              </w:rPr>
            </w:pPr>
            <w:r w:rsidRPr="00337EAB">
              <w:rPr>
                <w:rFonts w:eastAsia="Times New Roman" w:cstheme="minorHAnsi"/>
                <w:color w:val="000000"/>
                <w:sz w:val="16"/>
                <w:szCs w:val="16"/>
              </w:rPr>
              <w:t>2019</w:t>
            </w:r>
          </w:p>
        </w:tc>
        <w:tc>
          <w:tcPr>
            <w:tcW w:w="852"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337EAB" w:rsidRPr="00337EAB" w:rsidRDefault="00460794" w:rsidP="00460794">
            <w:pPr>
              <w:spacing w:after="0" w:line="240" w:lineRule="auto"/>
              <w:jc w:val="center"/>
              <w:rPr>
                <w:rFonts w:eastAsia="Times New Roman" w:cstheme="minorHAnsi"/>
                <w:color w:val="000000"/>
                <w:sz w:val="16"/>
                <w:szCs w:val="16"/>
              </w:rPr>
            </w:pPr>
            <w:r>
              <w:rPr>
                <w:rFonts w:eastAsia="Times New Roman" w:cstheme="minorHAnsi"/>
                <w:color w:val="000000"/>
                <w:sz w:val="16"/>
                <w:szCs w:val="16"/>
              </w:rPr>
              <w:t>NO</w:t>
            </w:r>
          </w:p>
        </w:tc>
        <w:tc>
          <w:tcPr>
            <w:tcW w:w="1046"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337EAB" w:rsidRPr="00337EAB" w:rsidRDefault="00337EAB" w:rsidP="00337EAB">
            <w:pPr>
              <w:spacing w:after="0" w:line="240" w:lineRule="auto"/>
              <w:jc w:val="center"/>
              <w:rPr>
                <w:rFonts w:eastAsia="Times New Roman" w:cstheme="minorHAnsi"/>
                <w:sz w:val="16"/>
                <w:szCs w:val="16"/>
              </w:rPr>
            </w:pPr>
          </w:p>
        </w:tc>
        <w:tc>
          <w:tcPr>
            <w:tcW w:w="687"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337EAB" w:rsidRPr="00337EAB" w:rsidRDefault="00337EAB" w:rsidP="00337EAB">
            <w:pPr>
              <w:spacing w:after="0" w:line="240" w:lineRule="auto"/>
              <w:jc w:val="center"/>
              <w:rPr>
                <w:rFonts w:eastAsia="Times New Roman" w:cstheme="minorHAnsi"/>
                <w:sz w:val="16"/>
                <w:szCs w:val="16"/>
              </w:rPr>
            </w:pPr>
          </w:p>
        </w:tc>
        <w:tc>
          <w:tcPr>
            <w:tcW w:w="1520" w:type="dxa"/>
            <w:tcBorders>
              <w:top w:val="single" w:sz="8" w:space="0" w:color="808080"/>
              <w:left w:val="single" w:sz="8" w:space="0" w:color="808080"/>
              <w:bottom w:val="single" w:sz="8" w:space="0" w:color="808080"/>
              <w:right w:val="single" w:sz="8" w:space="0" w:color="808080"/>
            </w:tcBorders>
            <w:shd w:val="clear" w:color="auto" w:fill="auto"/>
            <w:vAlign w:val="bottom"/>
            <w:hideMark/>
          </w:tcPr>
          <w:p w:rsidR="00337EAB" w:rsidRPr="00337EAB" w:rsidRDefault="00337EAB" w:rsidP="00337EAB">
            <w:pPr>
              <w:spacing w:after="0" w:line="240" w:lineRule="auto"/>
              <w:jc w:val="center"/>
              <w:rPr>
                <w:rFonts w:eastAsia="Times New Roman" w:cstheme="minorHAnsi"/>
                <w:sz w:val="16"/>
                <w:szCs w:val="16"/>
              </w:rPr>
            </w:pPr>
            <w:r w:rsidRPr="00337EAB">
              <w:rPr>
                <w:rFonts w:eastAsia="Times New Roman" w:cstheme="minorHAnsi"/>
                <w:sz w:val="16"/>
                <w:szCs w:val="16"/>
              </w:rPr>
              <w:t> </w:t>
            </w:r>
          </w:p>
        </w:tc>
        <w:tc>
          <w:tcPr>
            <w:tcW w:w="1753" w:type="dxa"/>
            <w:tcBorders>
              <w:top w:val="single" w:sz="8" w:space="0" w:color="808080"/>
              <w:left w:val="single" w:sz="8" w:space="0" w:color="808080"/>
              <w:bottom w:val="single" w:sz="8" w:space="0" w:color="808080"/>
              <w:right w:val="single" w:sz="8" w:space="0" w:color="808080"/>
            </w:tcBorders>
            <w:shd w:val="clear" w:color="auto" w:fill="auto"/>
            <w:hideMark/>
          </w:tcPr>
          <w:p w:rsidR="00337EAB" w:rsidRPr="00337EAB" w:rsidRDefault="00337EAB" w:rsidP="002B38EE">
            <w:pPr>
              <w:spacing w:after="0" w:line="240" w:lineRule="auto"/>
              <w:jc w:val="center"/>
              <w:rPr>
                <w:rFonts w:eastAsia="Times New Roman" w:cstheme="minorHAnsi"/>
                <w:sz w:val="16"/>
                <w:szCs w:val="16"/>
              </w:rPr>
            </w:pPr>
          </w:p>
        </w:tc>
        <w:tc>
          <w:tcPr>
            <w:tcW w:w="1132" w:type="dxa"/>
            <w:tcBorders>
              <w:top w:val="single" w:sz="8" w:space="0" w:color="808080"/>
              <w:left w:val="single" w:sz="8" w:space="0" w:color="808080"/>
              <w:bottom w:val="single" w:sz="8" w:space="0" w:color="808080"/>
              <w:right w:val="single" w:sz="8" w:space="0" w:color="808080"/>
            </w:tcBorders>
            <w:shd w:val="clear" w:color="auto" w:fill="auto"/>
            <w:hideMark/>
          </w:tcPr>
          <w:p w:rsidR="00337EAB" w:rsidRPr="00337EAB" w:rsidRDefault="00337EAB" w:rsidP="002B38EE">
            <w:pPr>
              <w:spacing w:after="0" w:line="240" w:lineRule="auto"/>
              <w:jc w:val="center"/>
              <w:rPr>
                <w:rFonts w:eastAsia="Times New Roman" w:cstheme="minorHAnsi"/>
                <w:color w:val="000000"/>
                <w:sz w:val="16"/>
                <w:szCs w:val="16"/>
              </w:rPr>
            </w:pPr>
            <w:r w:rsidRPr="00337EAB">
              <w:rPr>
                <w:rFonts w:eastAsia="Times New Roman" w:cstheme="minorHAnsi"/>
                <w:color w:val="000000"/>
                <w:sz w:val="16"/>
                <w:szCs w:val="16"/>
              </w:rPr>
              <w:t>Georgian State Insurance Supervision Service</w:t>
            </w:r>
          </w:p>
        </w:tc>
        <w:tc>
          <w:tcPr>
            <w:tcW w:w="1102" w:type="dxa"/>
            <w:tcBorders>
              <w:top w:val="single" w:sz="8" w:space="0" w:color="808080"/>
              <w:left w:val="single" w:sz="8" w:space="0" w:color="808080"/>
              <w:bottom w:val="single" w:sz="8" w:space="0" w:color="808080"/>
              <w:right w:val="single" w:sz="8" w:space="0" w:color="808080"/>
            </w:tcBorders>
            <w:shd w:val="clear" w:color="auto" w:fill="auto"/>
            <w:hideMark/>
          </w:tcPr>
          <w:p w:rsidR="00337EAB" w:rsidRPr="00337EAB" w:rsidRDefault="00337EAB" w:rsidP="002B38EE">
            <w:pPr>
              <w:spacing w:after="0" w:line="240" w:lineRule="auto"/>
              <w:jc w:val="center"/>
              <w:rPr>
                <w:rFonts w:eastAsia="Times New Roman" w:cstheme="minorHAnsi"/>
                <w:color w:val="000000"/>
                <w:sz w:val="16"/>
                <w:szCs w:val="16"/>
              </w:rPr>
            </w:pPr>
          </w:p>
        </w:tc>
        <w:tc>
          <w:tcPr>
            <w:tcW w:w="1842" w:type="dxa"/>
            <w:tcBorders>
              <w:top w:val="single" w:sz="8" w:space="0" w:color="808080"/>
              <w:left w:val="single" w:sz="8" w:space="0" w:color="808080"/>
              <w:bottom w:val="single" w:sz="8" w:space="0" w:color="808080"/>
              <w:right w:val="single" w:sz="8" w:space="0" w:color="808080"/>
            </w:tcBorders>
            <w:shd w:val="clear" w:color="auto" w:fill="auto"/>
            <w:hideMark/>
          </w:tcPr>
          <w:p w:rsidR="00337EAB" w:rsidRPr="00337EAB" w:rsidRDefault="00337EAB" w:rsidP="002B38EE">
            <w:pPr>
              <w:spacing w:after="0" w:line="240" w:lineRule="auto"/>
              <w:jc w:val="center"/>
              <w:rPr>
                <w:rFonts w:eastAsia="Times New Roman" w:cstheme="minorHAnsi"/>
                <w:sz w:val="16"/>
                <w:szCs w:val="16"/>
              </w:rPr>
            </w:pPr>
            <w:r w:rsidRPr="00337EAB">
              <w:rPr>
                <w:rFonts w:eastAsia="Times New Roman" w:cstheme="minorHAnsi"/>
                <w:sz w:val="16"/>
                <w:szCs w:val="16"/>
              </w:rPr>
              <w:t xml:space="preserve">The NAP Implementation Report 2019 marks the task as </w:t>
            </w:r>
            <w:r w:rsidRPr="00337EAB">
              <w:rPr>
                <w:rFonts w:eastAsia="Times New Roman" w:cstheme="minorHAnsi"/>
                <w:bCs/>
                <w:sz w:val="16"/>
                <w:szCs w:val="16"/>
              </w:rPr>
              <w:t>partially implemented</w:t>
            </w:r>
          </w:p>
        </w:tc>
        <w:tc>
          <w:tcPr>
            <w:tcW w:w="1476" w:type="dxa"/>
            <w:tcBorders>
              <w:top w:val="single" w:sz="8" w:space="0" w:color="808080"/>
              <w:left w:val="single" w:sz="8" w:space="0" w:color="808080"/>
              <w:bottom w:val="single" w:sz="8" w:space="0" w:color="808080"/>
              <w:right w:val="single" w:sz="8" w:space="0" w:color="808080"/>
            </w:tcBorders>
            <w:shd w:val="clear" w:color="auto" w:fill="auto"/>
          </w:tcPr>
          <w:p w:rsidR="00337EAB" w:rsidRPr="00337EAB" w:rsidRDefault="00337EAB" w:rsidP="00337EAB">
            <w:pPr>
              <w:spacing w:after="0" w:line="240" w:lineRule="auto"/>
              <w:jc w:val="center"/>
              <w:rPr>
                <w:rFonts w:eastAsia="Times New Roman" w:cstheme="minorHAnsi"/>
                <w:sz w:val="16"/>
                <w:szCs w:val="16"/>
              </w:rPr>
            </w:pPr>
          </w:p>
        </w:tc>
      </w:tr>
      <w:tr w:rsidR="00337EAB" w:rsidRPr="00337EAB" w:rsidTr="00962FAA">
        <w:trPr>
          <w:trHeight w:val="2259"/>
        </w:trPr>
        <w:tc>
          <w:tcPr>
            <w:tcW w:w="1523" w:type="dxa"/>
            <w:tcBorders>
              <w:top w:val="single" w:sz="8" w:space="0" w:color="808080"/>
              <w:left w:val="single" w:sz="8" w:space="0" w:color="808080"/>
              <w:bottom w:val="single" w:sz="8" w:space="0" w:color="808080"/>
              <w:right w:val="single" w:sz="8" w:space="0" w:color="808080"/>
            </w:tcBorders>
            <w:shd w:val="clear" w:color="auto" w:fill="auto"/>
            <w:hideMark/>
          </w:tcPr>
          <w:p w:rsidR="00337EAB" w:rsidRPr="00337EAB" w:rsidRDefault="00337EAB" w:rsidP="002B38EE">
            <w:pPr>
              <w:spacing w:after="0" w:line="240" w:lineRule="auto"/>
              <w:jc w:val="both"/>
              <w:rPr>
                <w:rFonts w:eastAsia="Times New Roman" w:cstheme="minorHAnsi"/>
                <w:color w:val="000000"/>
                <w:sz w:val="16"/>
                <w:szCs w:val="16"/>
              </w:rPr>
            </w:pPr>
            <w:r w:rsidRPr="00337EAB">
              <w:rPr>
                <w:rFonts w:eastAsia="Times New Roman" w:cstheme="minorHAnsi"/>
                <w:color w:val="000000"/>
                <w:sz w:val="16"/>
                <w:szCs w:val="16"/>
              </w:rPr>
              <w:t>Directive 2002/92/EC of the European Parliament and of the Council of 9 December 2002 on insurance mediation</w:t>
            </w:r>
          </w:p>
        </w:tc>
        <w:tc>
          <w:tcPr>
            <w:tcW w:w="1176" w:type="dxa"/>
            <w:tcBorders>
              <w:top w:val="single" w:sz="8" w:space="0" w:color="808080"/>
              <w:left w:val="single" w:sz="8" w:space="0" w:color="808080"/>
              <w:bottom w:val="single" w:sz="8" w:space="0" w:color="808080"/>
              <w:right w:val="single" w:sz="8" w:space="0" w:color="808080"/>
            </w:tcBorders>
            <w:shd w:val="clear" w:color="auto" w:fill="auto"/>
            <w:hideMark/>
          </w:tcPr>
          <w:p w:rsidR="00337EAB" w:rsidRPr="00337EAB" w:rsidRDefault="00337EAB" w:rsidP="002B38EE">
            <w:pPr>
              <w:spacing w:after="0" w:line="240" w:lineRule="auto"/>
              <w:jc w:val="both"/>
              <w:rPr>
                <w:rFonts w:eastAsia="Times New Roman" w:cstheme="minorHAnsi"/>
                <w:sz w:val="16"/>
                <w:szCs w:val="16"/>
              </w:rPr>
            </w:pPr>
            <w:r w:rsidRPr="00337EAB">
              <w:rPr>
                <w:rFonts w:eastAsia="Times New Roman" w:cstheme="minorHAnsi"/>
                <w:sz w:val="16"/>
                <w:szCs w:val="16"/>
              </w:rPr>
              <w:t> </w:t>
            </w:r>
          </w:p>
        </w:tc>
        <w:tc>
          <w:tcPr>
            <w:tcW w:w="1101"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337EAB" w:rsidRPr="00337EAB" w:rsidRDefault="00337EAB" w:rsidP="00337EAB">
            <w:pPr>
              <w:spacing w:after="0" w:line="240" w:lineRule="auto"/>
              <w:jc w:val="center"/>
              <w:rPr>
                <w:rFonts w:eastAsia="Times New Roman" w:cstheme="minorHAnsi"/>
                <w:color w:val="000000"/>
                <w:sz w:val="16"/>
                <w:szCs w:val="16"/>
              </w:rPr>
            </w:pPr>
            <w:r w:rsidRPr="00337EAB">
              <w:rPr>
                <w:rFonts w:eastAsia="Times New Roman" w:cstheme="minorHAnsi"/>
                <w:color w:val="000000"/>
                <w:sz w:val="16"/>
                <w:szCs w:val="16"/>
              </w:rPr>
              <w:t>2022</w:t>
            </w:r>
          </w:p>
        </w:tc>
        <w:tc>
          <w:tcPr>
            <w:tcW w:w="852"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337EAB" w:rsidRPr="00337EAB" w:rsidRDefault="00337EAB" w:rsidP="00337EAB">
            <w:pPr>
              <w:spacing w:after="0" w:line="240" w:lineRule="auto"/>
              <w:jc w:val="center"/>
              <w:rPr>
                <w:rFonts w:eastAsia="Times New Roman" w:cstheme="minorHAnsi"/>
                <w:color w:val="000000"/>
                <w:sz w:val="16"/>
                <w:szCs w:val="16"/>
              </w:rPr>
            </w:pPr>
          </w:p>
        </w:tc>
        <w:tc>
          <w:tcPr>
            <w:tcW w:w="1046" w:type="dxa"/>
            <w:tcBorders>
              <w:top w:val="single" w:sz="8" w:space="0" w:color="808080"/>
              <w:left w:val="single" w:sz="8" w:space="0" w:color="808080"/>
              <w:bottom w:val="single" w:sz="8" w:space="0" w:color="808080"/>
              <w:right w:val="single" w:sz="8" w:space="0" w:color="808080"/>
            </w:tcBorders>
            <w:shd w:val="clear" w:color="auto" w:fill="auto"/>
            <w:vAlign w:val="bottom"/>
            <w:hideMark/>
          </w:tcPr>
          <w:p w:rsidR="00337EAB" w:rsidRPr="00337EAB" w:rsidRDefault="00337EAB" w:rsidP="00337EAB">
            <w:pPr>
              <w:spacing w:after="0" w:line="240" w:lineRule="auto"/>
              <w:jc w:val="center"/>
              <w:rPr>
                <w:rFonts w:eastAsia="Times New Roman" w:cstheme="minorHAnsi"/>
                <w:sz w:val="16"/>
                <w:szCs w:val="16"/>
              </w:rPr>
            </w:pPr>
            <w:r w:rsidRPr="00337EAB">
              <w:rPr>
                <w:rFonts w:eastAsia="Times New Roman" w:cstheme="minorHAnsi"/>
                <w:sz w:val="16"/>
                <w:szCs w:val="16"/>
              </w:rPr>
              <w:t> </w:t>
            </w:r>
          </w:p>
        </w:tc>
        <w:tc>
          <w:tcPr>
            <w:tcW w:w="687" w:type="dxa"/>
            <w:tcBorders>
              <w:top w:val="single" w:sz="8" w:space="0" w:color="808080"/>
              <w:left w:val="single" w:sz="8" w:space="0" w:color="808080"/>
              <w:bottom w:val="single" w:sz="8" w:space="0" w:color="808080"/>
              <w:right w:val="single" w:sz="8" w:space="0" w:color="808080"/>
            </w:tcBorders>
            <w:shd w:val="clear" w:color="auto" w:fill="auto"/>
            <w:vAlign w:val="bottom"/>
            <w:hideMark/>
          </w:tcPr>
          <w:p w:rsidR="00337EAB" w:rsidRPr="00337EAB" w:rsidRDefault="00337EAB" w:rsidP="00337EAB">
            <w:pPr>
              <w:spacing w:after="0" w:line="240" w:lineRule="auto"/>
              <w:jc w:val="center"/>
              <w:rPr>
                <w:rFonts w:eastAsia="Times New Roman" w:cstheme="minorHAnsi"/>
                <w:sz w:val="16"/>
                <w:szCs w:val="16"/>
              </w:rPr>
            </w:pPr>
            <w:r w:rsidRPr="00337EAB">
              <w:rPr>
                <w:rFonts w:eastAsia="Times New Roman" w:cstheme="minorHAnsi"/>
                <w:sz w:val="16"/>
                <w:szCs w:val="16"/>
              </w:rPr>
              <w:t> </w:t>
            </w:r>
          </w:p>
        </w:tc>
        <w:tc>
          <w:tcPr>
            <w:tcW w:w="1520" w:type="dxa"/>
            <w:tcBorders>
              <w:top w:val="single" w:sz="8" w:space="0" w:color="808080"/>
              <w:left w:val="single" w:sz="8" w:space="0" w:color="808080"/>
              <w:bottom w:val="single" w:sz="8" w:space="0" w:color="808080"/>
              <w:right w:val="single" w:sz="8" w:space="0" w:color="808080"/>
            </w:tcBorders>
            <w:shd w:val="clear" w:color="auto" w:fill="auto"/>
            <w:vAlign w:val="bottom"/>
            <w:hideMark/>
          </w:tcPr>
          <w:p w:rsidR="00337EAB" w:rsidRPr="00337EAB" w:rsidRDefault="00337EAB" w:rsidP="00337EAB">
            <w:pPr>
              <w:spacing w:after="0" w:line="240" w:lineRule="auto"/>
              <w:jc w:val="center"/>
              <w:rPr>
                <w:rFonts w:eastAsia="Times New Roman" w:cstheme="minorHAnsi"/>
                <w:sz w:val="16"/>
                <w:szCs w:val="16"/>
              </w:rPr>
            </w:pPr>
            <w:r w:rsidRPr="00337EAB">
              <w:rPr>
                <w:rFonts w:eastAsia="Times New Roman" w:cstheme="minorHAnsi"/>
                <w:sz w:val="16"/>
                <w:szCs w:val="16"/>
              </w:rPr>
              <w:t> </w:t>
            </w:r>
          </w:p>
        </w:tc>
        <w:tc>
          <w:tcPr>
            <w:tcW w:w="1753" w:type="dxa"/>
            <w:tcBorders>
              <w:top w:val="single" w:sz="8" w:space="0" w:color="808080"/>
              <w:left w:val="single" w:sz="8" w:space="0" w:color="808080"/>
              <w:bottom w:val="single" w:sz="8" w:space="0" w:color="808080"/>
              <w:right w:val="single" w:sz="8" w:space="0" w:color="808080"/>
            </w:tcBorders>
            <w:shd w:val="clear" w:color="auto" w:fill="auto"/>
            <w:hideMark/>
          </w:tcPr>
          <w:p w:rsidR="00337EAB" w:rsidRPr="00337EAB" w:rsidRDefault="00337EAB" w:rsidP="002B38EE">
            <w:pPr>
              <w:spacing w:after="0" w:line="240" w:lineRule="auto"/>
              <w:jc w:val="center"/>
              <w:rPr>
                <w:rFonts w:eastAsia="Times New Roman" w:cstheme="minorHAnsi"/>
                <w:sz w:val="16"/>
                <w:szCs w:val="16"/>
              </w:rPr>
            </w:pPr>
          </w:p>
        </w:tc>
        <w:tc>
          <w:tcPr>
            <w:tcW w:w="1132" w:type="dxa"/>
            <w:tcBorders>
              <w:top w:val="single" w:sz="8" w:space="0" w:color="808080"/>
              <w:left w:val="single" w:sz="8" w:space="0" w:color="808080"/>
              <w:bottom w:val="single" w:sz="8" w:space="0" w:color="808080"/>
              <w:right w:val="single" w:sz="8" w:space="0" w:color="808080"/>
            </w:tcBorders>
            <w:shd w:val="clear" w:color="auto" w:fill="auto"/>
            <w:hideMark/>
          </w:tcPr>
          <w:p w:rsidR="00337EAB" w:rsidRPr="00337EAB" w:rsidRDefault="00337EAB" w:rsidP="002B38EE">
            <w:pPr>
              <w:spacing w:after="0" w:line="240" w:lineRule="auto"/>
              <w:jc w:val="center"/>
              <w:rPr>
                <w:rFonts w:eastAsia="Times New Roman" w:cstheme="minorHAnsi"/>
                <w:color w:val="000000"/>
                <w:sz w:val="16"/>
                <w:szCs w:val="16"/>
              </w:rPr>
            </w:pPr>
            <w:r w:rsidRPr="00337EAB">
              <w:rPr>
                <w:rFonts w:eastAsia="Times New Roman" w:cstheme="minorHAnsi"/>
                <w:color w:val="000000"/>
                <w:sz w:val="16"/>
                <w:szCs w:val="16"/>
              </w:rPr>
              <w:t>Georgian State Insurance Supervision Service</w:t>
            </w:r>
          </w:p>
        </w:tc>
        <w:tc>
          <w:tcPr>
            <w:tcW w:w="1102" w:type="dxa"/>
            <w:tcBorders>
              <w:top w:val="single" w:sz="8" w:space="0" w:color="808080"/>
              <w:left w:val="single" w:sz="8" w:space="0" w:color="808080"/>
              <w:bottom w:val="single" w:sz="8" w:space="0" w:color="808080"/>
              <w:right w:val="single" w:sz="8" w:space="0" w:color="808080"/>
            </w:tcBorders>
            <w:shd w:val="clear" w:color="auto" w:fill="auto"/>
            <w:hideMark/>
          </w:tcPr>
          <w:p w:rsidR="00337EAB" w:rsidRPr="00337EAB" w:rsidRDefault="00337EAB" w:rsidP="002B38EE">
            <w:pPr>
              <w:spacing w:after="0" w:line="240" w:lineRule="auto"/>
              <w:jc w:val="center"/>
              <w:rPr>
                <w:rFonts w:eastAsia="Times New Roman" w:cstheme="minorHAnsi"/>
                <w:sz w:val="16"/>
                <w:szCs w:val="16"/>
              </w:rPr>
            </w:pPr>
          </w:p>
        </w:tc>
        <w:tc>
          <w:tcPr>
            <w:tcW w:w="1842" w:type="dxa"/>
            <w:tcBorders>
              <w:top w:val="single" w:sz="8" w:space="0" w:color="808080"/>
              <w:left w:val="single" w:sz="8" w:space="0" w:color="808080"/>
              <w:bottom w:val="single" w:sz="8" w:space="0" w:color="808080"/>
              <w:right w:val="single" w:sz="8" w:space="0" w:color="808080"/>
            </w:tcBorders>
            <w:shd w:val="clear" w:color="auto" w:fill="auto"/>
            <w:hideMark/>
          </w:tcPr>
          <w:p w:rsidR="00337EAB" w:rsidRPr="00337EAB" w:rsidRDefault="00337EAB" w:rsidP="002B38EE">
            <w:pPr>
              <w:spacing w:after="0" w:line="240" w:lineRule="auto"/>
              <w:jc w:val="center"/>
              <w:rPr>
                <w:rFonts w:eastAsia="Times New Roman" w:cstheme="minorHAnsi"/>
                <w:sz w:val="16"/>
                <w:szCs w:val="16"/>
              </w:rPr>
            </w:pPr>
          </w:p>
        </w:tc>
        <w:tc>
          <w:tcPr>
            <w:tcW w:w="1476" w:type="dxa"/>
            <w:tcBorders>
              <w:top w:val="single" w:sz="8" w:space="0" w:color="808080"/>
              <w:left w:val="single" w:sz="8" w:space="0" w:color="808080"/>
              <w:bottom w:val="single" w:sz="8" w:space="0" w:color="808080"/>
              <w:right w:val="single" w:sz="8" w:space="0" w:color="808080"/>
            </w:tcBorders>
            <w:shd w:val="clear" w:color="auto" w:fill="auto"/>
          </w:tcPr>
          <w:p w:rsidR="00337EAB" w:rsidRPr="00337EAB" w:rsidRDefault="00337EAB" w:rsidP="00337EAB">
            <w:pPr>
              <w:spacing w:after="0" w:line="240" w:lineRule="auto"/>
              <w:jc w:val="center"/>
              <w:rPr>
                <w:rFonts w:eastAsia="Times New Roman" w:cstheme="minorHAnsi"/>
                <w:sz w:val="16"/>
                <w:szCs w:val="16"/>
              </w:rPr>
            </w:pPr>
          </w:p>
        </w:tc>
      </w:tr>
      <w:tr w:rsidR="00337EAB" w:rsidRPr="00337EAB" w:rsidTr="00962FAA">
        <w:trPr>
          <w:trHeight w:val="3216"/>
        </w:trPr>
        <w:tc>
          <w:tcPr>
            <w:tcW w:w="1523" w:type="dxa"/>
            <w:tcBorders>
              <w:top w:val="single" w:sz="8" w:space="0" w:color="808080"/>
              <w:left w:val="single" w:sz="8" w:space="0" w:color="808080"/>
              <w:bottom w:val="single" w:sz="8" w:space="0" w:color="808080"/>
              <w:right w:val="single" w:sz="8" w:space="0" w:color="808080"/>
            </w:tcBorders>
            <w:shd w:val="clear" w:color="auto" w:fill="auto"/>
            <w:hideMark/>
          </w:tcPr>
          <w:p w:rsidR="00337EAB" w:rsidRPr="00337EAB" w:rsidRDefault="00337EAB" w:rsidP="002B38EE">
            <w:pPr>
              <w:spacing w:after="0" w:line="240" w:lineRule="auto"/>
              <w:jc w:val="both"/>
              <w:rPr>
                <w:rFonts w:eastAsia="Times New Roman" w:cstheme="minorHAnsi"/>
                <w:color w:val="000000"/>
                <w:sz w:val="16"/>
                <w:szCs w:val="16"/>
              </w:rPr>
            </w:pPr>
            <w:r w:rsidRPr="00337EAB">
              <w:rPr>
                <w:rFonts w:eastAsia="Times New Roman" w:cstheme="minorHAnsi"/>
                <w:color w:val="000000"/>
                <w:sz w:val="16"/>
                <w:szCs w:val="16"/>
              </w:rPr>
              <w:t>Directive 2009/103/EC of the European Parliament and of the Council of 16 September 2009 relating to insurance against civil liability in respect of the use of motor vehicles, and the enforcement of the obligation to insure against such liability</w:t>
            </w:r>
          </w:p>
        </w:tc>
        <w:tc>
          <w:tcPr>
            <w:tcW w:w="1176" w:type="dxa"/>
            <w:tcBorders>
              <w:top w:val="single" w:sz="8" w:space="0" w:color="808080"/>
              <w:left w:val="single" w:sz="8" w:space="0" w:color="808080"/>
              <w:bottom w:val="single" w:sz="8" w:space="0" w:color="808080"/>
              <w:right w:val="single" w:sz="8" w:space="0" w:color="808080"/>
            </w:tcBorders>
            <w:shd w:val="clear" w:color="auto" w:fill="auto"/>
            <w:hideMark/>
          </w:tcPr>
          <w:p w:rsidR="00337EAB" w:rsidRPr="00337EAB" w:rsidRDefault="00337EAB" w:rsidP="002B38EE">
            <w:pPr>
              <w:spacing w:after="0" w:line="240" w:lineRule="auto"/>
              <w:jc w:val="both"/>
              <w:rPr>
                <w:rFonts w:eastAsia="Times New Roman" w:cstheme="minorHAnsi"/>
                <w:sz w:val="16"/>
                <w:szCs w:val="16"/>
              </w:rPr>
            </w:pPr>
            <w:r w:rsidRPr="00337EAB">
              <w:rPr>
                <w:rFonts w:eastAsia="Times New Roman" w:cstheme="minorHAnsi"/>
                <w:sz w:val="16"/>
                <w:szCs w:val="16"/>
              </w:rPr>
              <w:t> </w:t>
            </w:r>
          </w:p>
        </w:tc>
        <w:tc>
          <w:tcPr>
            <w:tcW w:w="1101"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337EAB" w:rsidRPr="00337EAB" w:rsidRDefault="00337EAB" w:rsidP="00337EAB">
            <w:pPr>
              <w:spacing w:after="0" w:line="240" w:lineRule="auto"/>
              <w:jc w:val="center"/>
              <w:rPr>
                <w:rFonts w:eastAsia="Times New Roman" w:cstheme="minorHAnsi"/>
                <w:color w:val="000000"/>
                <w:sz w:val="16"/>
                <w:szCs w:val="16"/>
              </w:rPr>
            </w:pPr>
            <w:r w:rsidRPr="00337EAB">
              <w:rPr>
                <w:rFonts w:eastAsia="Times New Roman" w:cstheme="minorHAnsi"/>
                <w:color w:val="000000"/>
                <w:sz w:val="16"/>
                <w:szCs w:val="16"/>
              </w:rPr>
              <w:t>2019</w:t>
            </w:r>
          </w:p>
        </w:tc>
        <w:tc>
          <w:tcPr>
            <w:tcW w:w="852"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337EAB" w:rsidRPr="00337EAB" w:rsidRDefault="004C2A0C" w:rsidP="004C2A0C">
            <w:pPr>
              <w:spacing w:after="0" w:line="240" w:lineRule="auto"/>
              <w:jc w:val="center"/>
              <w:rPr>
                <w:rFonts w:eastAsia="Times New Roman" w:cstheme="minorHAnsi"/>
                <w:color w:val="000000"/>
                <w:sz w:val="16"/>
                <w:szCs w:val="16"/>
              </w:rPr>
            </w:pPr>
            <w:r>
              <w:rPr>
                <w:rFonts w:eastAsia="Times New Roman" w:cstheme="minorHAnsi"/>
                <w:color w:val="000000"/>
                <w:sz w:val="16"/>
                <w:szCs w:val="16"/>
              </w:rPr>
              <w:t>NO</w:t>
            </w:r>
          </w:p>
        </w:tc>
        <w:tc>
          <w:tcPr>
            <w:tcW w:w="1046" w:type="dxa"/>
            <w:tcBorders>
              <w:top w:val="single" w:sz="8" w:space="0" w:color="808080"/>
              <w:left w:val="single" w:sz="8" w:space="0" w:color="808080"/>
              <w:bottom w:val="single" w:sz="8" w:space="0" w:color="808080"/>
              <w:right w:val="single" w:sz="8" w:space="0" w:color="808080"/>
            </w:tcBorders>
            <w:shd w:val="clear" w:color="auto" w:fill="auto"/>
            <w:vAlign w:val="bottom"/>
            <w:hideMark/>
          </w:tcPr>
          <w:p w:rsidR="00337EAB" w:rsidRPr="00337EAB" w:rsidRDefault="00337EAB" w:rsidP="00337EAB">
            <w:pPr>
              <w:spacing w:after="0" w:line="240" w:lineRule="auto"/>
              <w:jc w:val="center"/>
              <w:rPr>
                <w:rFonts w:eastAsia="Times New Roman" w:cstheme="minorHAnsi"/>
                <w:sz w:val="16"/>
                <w:szCs w:val="16"/>
              </w:rPr>
            </w:pPr>
            <w:r w:rsidRPr="00337EAB">
              <w:rPr>
                <w:rFonts w:eastAsia="Times New Roman" w:cstheme="minorHAnsi"/>
                <w:sz w:val="16"/>
                <w:szCs w:val="16"/>
              </w:rPr>
              <w:t> </w:t>
            </w:r>
          </w:p>
        </w:tc>
        <w:tc>
          <w:tcPr>
            <w:tcW w:w="687" w:type="dxa"/>
            <w:tcBorders>
              <w:top w:val="single" w:sz="8" w:space="0" w:color="808080"/>
              <w:left w:val="single" w:sz="8" w:space="0" w:color="808080"/>
              <w:bottom w:val="single" w:sz="8" w:space="0" w:color="808080"/>
              <w:right w:val="single" w:sz="8" w:space="0" w:color="808080"/>
            </w:tcBorders>
            <w:shd w:val="clear" w:color="auto" w:fill="auto"/>
            <w:vAlign w:val="bottom"/>
            <w:hideMark/>
          </w:tcPr>
          <w:p w:rsidR="00337EAB" w:rsidRPr="00337EAB" w:rsidRDefault="00337EAB" w:rsidP="00337EAB">
            <w:pPr>
              <w:spacing w:after="0" w:line="240" w:lineRule="auto"/>
              <w:jc w:val="center"/>
              <w:rPr>
                <w:rFonts w:eastAsia="Times New Roman" w:cstheme="minorHAnsi"/>
                <w:sz w:val="16"/>
                <w:szCs w:val="16"/>
              </w:rPr>
            </w:pPr>
            <w:r w:rsidRPr="00337EAB">
              <w:rPr>
                <w:rFonts w:eastAsia="Times New Roman" w:cstheme="minorHAnsi"/>
                <w:sz w:val="16"/>
                <w:szCs w:val="16"/>
              </w:rPr>
              <w:t> </w:t>
            </w:r>
          </w:p>
        </w:tc>
        <w:tc>
          <w:tcPr>
            <w:tcW w:w="1520"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337EAB" w:rsidRPr="00337EAB" w:rsidRDefault="00337EAB" w:rsidP="00337EAB">
            <w:pPr>
              <w:spacing w:after="0" w:line="240" w:lineRule="auto"/>
              <w:jc w:val="center"/>
              <w:rPr>
                <w:rFonts w:eastAsia="Times New Roman" w:cstheme="minorHAnsi"/>
                <w:color w:val="000000"/>
                <w:sz w:val="16"/>
                <w:szCs w:val="16"/>
              </w:rPr>
            </w:pPr>
            <w:r w:rsidRPr="00337EAB">
              <w:rPr>
                <w:rFonts w:eastAsia="Times New Roman" w:cstheme="minorHAnsi"/>
                <w:color w:val="000000"/>
                <w:sz w:val="16"/>
                <w:szCs w:val="16"/>
              </w:rPr>
              <w:t> </w:t>
            </w:r>
          </w:p>
        </w:tc>
        <w:tc>
          <w:tcPr>
            <w:tcW w:w="1753" w:type="dxa"/>
            <w:tcBorders>
              <w:top w:val="single" w:sz="8" w:space="0" w:color="808080"/>
              <w:left w:val="single" w:sz="8" w:space="0" w:color="808080"/>
              <w:bottom w:val="single" w:sz="8" w:space="0" w:color="808080"/>
              <w:right w:val="single" w:sz="8" w:space="0" w:color="808080"/>
            </w:tcBorders>
            <w:shd w:val="clear" w:color="auto" w:fill="auto"/>
            <w:hideMark/>
          </w:tcPr>
          <w:p w:rsidR="00337EAB" w:rsidRPr="00337EAB" w:rsidRDefault="00337EAB" w:rsidP="002B38EE">
            <w:pPr>
              <w:spacing w:after="0" w:line="240" w:lineRule="auto"/>
              <w:jc w:val="center"/>
              <w:rPr>
                <w:rFonts w:eastAsia="Times New Roman" w:cstheme="minorHAnsi"/>
                <w:color w:val="000000"/>
                <w:sz w:val="16"/>
                <w:szCs w:val="16"/>
              </w:rPr>
            </w:pPr>
            <w:r w:rsidRPr="00337EAB">
              <w:rPr>
                <w:rFonts w:eastAsia="Times New Roman" w:cstheme="minorHAnsi"/>
                <w:color w:val="000000"/>
                <w:sz w:val="16"/>
                <w:szCs w:val="16"/>
              </w:rPr>
              <w:t>Law on Compulsory Insurance of the Civil Liability for Users of Motor Vehicles Registered in Georgia</w:t>
            </w:r>
          </w:p>
        </w:tc>
        <w:tc>
          <w:tcPr>
            <w:tcW w:w="1132" w:type="dxa"/>
            <w:tcBorders>
              <w:top w:val="single" w:sz="8" w:space="0" w:color="808080"/>
              <w:left w:val="single" w:sz="8" w:space="0" w:color="808080"/>
              <w:bottom w:val="single" w:sz="8" w:space="0" w:color="808080"/>
              <w:right w:val="single" w:sz="8" w:space="0" w:color="808080"/>
            </w:tcBorders>
            <w:shd w:val="clear" w:color="auto" w:fill="auto"/>
            <w:hideMark/>
          </w:tcPr>
          <w:p w:rsidR="00337EAB" w:rsidRPr="00337EAB" w:rsidRDefault="00337EAB" w:rsidP="002B38EE">
            <w:pPr>
              <w:spacing w:after="0" w:line="240" w:lineRule="auto"/>
              <w:jc w:val="center"/>
              <w:rPr>
                <w:rFonts w:eastAsia="Times New Roman" w:cstheme="minorHAnsi"/>
                <w:color w:val="000000"/>
                <w:sz w:val="16"/>
                <w:szCs w:val="16"/>
              </w:rPr>
            </w:pPr>
            <w:r w:rsidRPr="00337EAB">
              <w:rPr>
                <w:rFonts w:eastAsia="Times New Roman" w:cstheme="minorHAnsi"/>
                <w:color w:val="000000"/>
                <w:sz w:val="16"/>
                <w:szCs w:val="16"/>
              </w:rPr>
              <w:t>Georgian State Insurance Supervision Service</w:t>
            </w:r>
          </w:p>
        </w:tc>
        <w:tc>
          <w:tcPr>
            <w:tcW w:w="1102" w:type="dxa"/>
            <w:tcBorders>
              <w:top w:val="single" w:sz="8" w:space="0" w:color="808080"/>
              <w:left w:val="single" w:sz="8" w:space="0" w:color="808080"/>
              <w:bottom w:val="single" w:sz="8" w:space="0" w:color="808080"/>
              <w:right w:val="single" w:sz="8" w:space="0" w:color="808080"/>
            </w:tcBorders>
            <w:shd w:val="clear" w:color="auto" w:fill="auto"/>
            <w:hideMark/>
          </w:tcPr>
          <w:p w:rsidR="00337EAB" w:rsidRPr="00337EAB" w:rsidRDefault="00337EAB" w:rsidP="002B38EE">
            <w:pPr>
              <w:spacing w:after="0" w:line="240" w:lineRule="auto"/>
              <w:jc w:val="center"/>
              <w:rPr>
                <w:rFonts w:eastAsia="Times New Roman" w:cstheme="minorHAnsi"/>
                <w:sz w:val="16"/>
                <w:szCs w:val="16"/>
              </w:rPr>
            </w:pPr>
          </w:p>
        </w:tc>
        <w:tc>
          <w:tcPr>
            <w:tcW w:w="1842" w:type="dxa"/>
            <w:tcBorders>
              <w:top w:val="single" w:sz="8" w:space="0" w:color="808080"/>
              <w:left w:val="single" w:sz="8" w:space="0" w:color="808080"/>
              <w:bottom w:val="single" w:sz="8" w:space="0" w:color="808080"/>
              <w:right w:val="single" w:sz="8" w:space="0" w:color="808080"/>
            </w:tcBorders>
            <w:shd w:val="clear" w:color="auto" w:fill="auto"/>
            <w:hideMark/>
          </w:tcPr>
          <w:p w:rsidR="00337EAB" w:rsidRPr="00337EAB" w:rsidRDefault="00337EAB" w:rsidP="002B38EE">
            <w:pPr>
              <w:spacing w:after="0" w:line="240" w:lineRule="auto"/>
              <w:jc w:val="center"/>
              <w:rPr>
                <w:rFonts w:eastAsia="Times New Roman" w:cstheme="minorHAnsi"/>
                <w:color w:val="000000"/>
                <w:sz w:val="16"/>
                <w:szCs w:val="16"/>
              </w:rPr>
            </w:pPr>
          </w:p>
        </w:tc>
        <w:tc>
          <w:tcPr>
            <w:tcW w:w="1476" w:type="dxa"/>
            <w:tcBorders>
              <w:top w:val="single" w:sz="8" w:space="0" w:color="808080"/>
              <w:left w:val="single" w:sz="8" w:space="0" w:color="808080"/>
              <w:bottom w:val="single" w:sz="8" w:space="0" w:color="808080"/>
              <w:right w:val="single" w:sz="8" w:space="0" w:color="808080"/>
            </w:tcBorders>
            <w:shd w:val="clear" w:color="auto" w:fill="auto"/>
          </w:tcPr>
          <w:p w:rsidR="00337EAB" w:rsidRPr="00337EAB" w:rsidRDefault="00337EAB" w:rsidP="00337EAB">
            <w:pPr>
              <w:spacing w:after="0" w:line="240" w:lineRule="auto"/>
              <w:jc w:val="center"/>
              <w:rPr>
                <w:rFonts w:eastAsia="Times New Roman" w:cstheme="minorHAnsi"/>
                <w:color w:val="000000"/>
                <w:sz w:val="16"/>
                <w:szCs w:val="16"/>
              </w:rPr>
            </w:pPr>
          </w:p>
        </w:tc>
      </w:tr>
      <w:tr w:rsidR="00337EAB" w:rsidRPr="00337EAB" w:rsidTr="00962FAA">
        <w:trPr>
          <w:trHeight w:val="2412"/>
        </w:trPr>
        <w:tc>
          <w:tcPr>
            <w:tcW w:w="1523" w:type="dxa"/>
            <w:tcBorders>
              <w:top w:val="single" w:sz="8" w:space="0" w:color="808080"/>
              <w:left w:val="single" w:sz="8" w:space="0" w:color="808080"/>
              <w:bottom w:val="single" w:sz="8" w:space="0" w:color="808080"/>
              <w:right w:val="single" w:sz="8" w:space="0" w:color="808080"/>
            </w:tcBorders>
            <w:shd w:val="clear" w:color="auto" w:fill="auto"/>
            <w:hideMark/>
          </w:tcPr>
          <w:p w:rsidR="00337EAB" w:rsidRPr="00337EAB" w:rsidRDefault="00337EAB" w:rsidP="002B38EE">
            <w:pPr>
              <w:spacing w:after="0" w:line="240" w:lineRule="auto"/>
              <w:jc w:val="both"/>
              <w:rPr>
                <w:rFonts w:eastAsia="Times New Roman" w:cstheme="minorHAnsi"/>
                <w:color w:val="000000"/>
                <w:sz w:val="16"/>
                <w:szCs w:val="16"/>
              </w:rPr>
            </w:pPr>
            <w:r w:rsidRPr="00337EAB">
              <w:rPr>
                <w:rFonts w:eastAsia="Times New Roman" w:cstheme="minorHAnsi"/>
                <w:color w:val="000000"/>
                <w:sz w:val="16"/>
                <w:szCs w:val="16"/>
              </w:rPr>
              <w:t>Directive 2003/41/EC of the European Parliament and of the Council of 3 June 2003 on the activities and supervision of institutions for occupational retirement provision</w:t>
            </w:r>
          </w:p>
        </w:tc>
        <w:tc>
          <w:tcPr>
            <w:tcW w:w="1176" w:type="dxa"/>
            <w:tcBorders>
              <w:top w:val="single" w:sz="8" w:space="0" w:color="808080"/>
              <w:left w:val="single" w:sz="8" w:space="0" w:color="808080"/>
              <w:bottom w:val="single" w:sz="8" w:space="0" w:color="808080"/>
              <w:right w:val="single" w:sz="8" w:space="0" w:color="808080"/>
            </w:tcBorders>
            <w:shd w:val="clear" w:color="auto" w:fill="auto"/>
            <w:hideMark/>
          </w:tcPr>
          <w:p w:rsidR="00337EAB" w:rsidRPr="00337EAB" w:rsidRDefault="00337EAB" w:rsidP="002B38EE">
            <w:pPr>
              <w:spacing w:after="0" w:line="240" w:lineRule="auto"/>
              <w:jc w:val="both"/>
              <w:rPr>
                <w:rFonts w:eastAsia="Times New Roman" w:cstheme="minorHAnsi"/>
                <w:sz w:val="16"/>
                <w:szCs w:val="16"/>
              </w:rPr>
            </w:pPr>
            <w:r w:rsidRPr="00337EAB">
              <w:rPr>
                <w:rFonts w:eastAsia="Times New Roman" w:cstheme="minorHAnsi"/>
                <w:sz w:val="16"/>
                <w:szCs w:val="16"/>
              </w:rPr>
              <w:t> </w:t>
            </w:r>
          </w:p>
        </w:tc>
        <w:tc>
          <w:tcPr>
            <w:tcW w:w="1101"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337EAB" w:rsidRPr="00337EAB" w:rsidRDefault="00337EAB" w:rsidP="00337EAB">
            <w:pPr>
              <w:spacing w:after="0" w:line="240" w:lineRule="auto"/>
              <w:jc w:val="center"/>
              <w:rPr>
                <w:rFonts w:eastAsia="Times New Roman" w:cstheme="minorHAnsi"/>
                <w:color w:val="000000"/>
                <w:sz w:val="16"/>
                <w:szCs w:val="16"/>
              </w:rPr>
            </w:pPr>
            <w:r w:rsidRPr="00337EAB">
              <w:rPr>
                <w:rFonts w:eastAsia="Times New Roman" w:cstheme="minorHAnsi"/>
                <w:color w:val="000000"/>
                <w:sz w:val="16"/>
                <w:szCs w:val="16"/>
              </w:rPr>
              <w:t>2021</w:t>
            </w:r>
          </w:p>
        </w:tc>
        <w:tc>
          <w:tcPr>
            <w:tcW w:w="852"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rsidR="00337EAB" w:rsidRPr="00337EAB" w:rsidRDefault="00337EAB" w:rsidP="00337EAB">
            <w:pPr>
              <w:spacing w:after="0" w:line="240" w:lineRule="auto"/>
              <w:jc w:val="center"/>
              <w:rPr>
                <w:rFonts w:eastAsia="Times New Roman" w:cstheme="minorHAnsi"/>
                <w:color w:val="000000"/>
                <w:sz w:val="16"/>
                <w:szCs w:val="16"/>
              </w:rPr>
            </w:pPr>
          </w:p>
        </w:tc>
        <w:tc>
          <w:tcPr>
            <w:tcW w:w="1046" w:type="dxa"/>
            <w:tcBorders>
              <w:top w:val="single" w:sz="8" w:space="0" w:color="808080"/>
              <w:left w:val="single" w:sz="8" w:space="0" w:color="808080"/>
              <w:bottom w:val="single" w:sz="8" w:space="0" w:color="808080"/>
              <w:right w:val="single" w:sz="8" w:space="0" w:color="808080"/>
            </w:tcBorders>
            <w:shd w:val="clear" w:color="auto" w:fill="auto"/>
            <w:vAlign w:val="bottom"/>
            <w:hideMark/>
          </w:tcPr>
          <w:p w:rsidR="00337EAB" w:rsidRPr="00337EAB" w:rsidRDefault="00337EAB" w:rsidP="00337EAB">
            <w:pPr>
              <w:spacing w:after="0" w:line="240" w:lineRule="auto"/>
              <w:jc w:val="center"/>
              <w:rPr>
                <w:rFonts w:eastAsia="Times New Roman" w:cstheme="minorHAnsi"/>
                <w:sz w:val="16"/>
                <w:szCs w:val="16"/>
              </w:rPr>
            </w:pPr>
            <w:r w:rsidRPr="00337EAB">
              <w:rPr>
                <w:rFonts w:eastAsia="Times New Roman" w:cstheme="minorHAnsi"/>
                <w:sz w:val="16"/>
                <w:szCs w:val="16"/>
              </w:rPr>
              <w:t> </w:t>
            </w:r>
          </w:p>
        </w:tc>
        <w:tc>
          <w:tcPr>
            <w:tcW w:w="687" w:type="dxa"/>
            <w:tcBorders>
              <w:top w:val="single" w:sz="8" w:space="0" w:color="808080"/>
              <w:left w:val="single" w:sz="8" w:space="0" w:color="808080"/>
              <w:bottom w:val="single" w:sz="8" w:space="0" w:color="808080"/>
              <w:right w:val="single" w:sz="8" w:space="0" w:color="808080"/>
            </w:tcBorders>
            <w:shd w:val="clear" w:color="auto" w:fill="auto"/>
            <w:vAlign w:val="bottom"/>
            <w:hideMark/>
          </w:tcPr>
          <w:p w:rsidR="00337EAB" w:rsidRPr="00337EAB" w:rsidRDefault="00337EAB" w:rsidP="00337EAB">
            <w:pPr>
              <w:spacing w:after="0" w:line="240" w:lineRule="auto"/>
              <w:jc w:val="center"/>
              <w:rPr>
                <w:rFonts w:eastAsia="Times New Roman" w:cstheme="minorHAnsi"/>
                <w:sz w:val="16"/>
                <w:szCs w:val="16"/>
              </w:rPr>
            </w:pPr>
            <w:r w:rsidRPr="00337EAB">
              <w:rPr>
                <w:rFonts w:eastAsia="Times New Roman" w:cstheme="minorHAnsi"/>
                <w:sz w:val="16"/>
                <w:szCs w:val="16"/>
              </w:rPr>
              <w:t> </w:t>
            </w:r>
          </w:p>
        </w:tc>
        <w:tc>
          <w:tcPr>
            <w:tcW w:w="1520" w:type="dxa"/>
            <w:tcBorders>
              <w:top w:val="single" w:sz="8" w:space="0" w:color="808080"/>
              <w:left w:val="single" w:sz="8" w:space="0" w:color="808080"/>
              <w:bottom w:val="single" w:sz="8" w:space="0" w:color="808080"/>
              <w:right w:val="single" w:sz="8" w:space="0" w:color="808080"/>
            </w:tcBorders>
            <w:shd w:val="clear" w:color="auto" w:fill="auto"/>
            <w:vAlign w:val="bottom"/>
            <w:hideMark/>
          </w:tcPr>
          <w:p w:rsidR="00337EAB" w:rsidRPr="00337EAB" w:rsidRDefault="00337EAB" w:rsidP="00337EAB">
            <w:pPr>
              <w:spacing w:after="0" w:line="240" w:lineRule="auto"/>
              <w:jc w:val="center"/>
              <w:rPr>
                <w:rFonts w:eastAsia="Times New Roman" w:cstheme="minorHAnsi"/>
                <w:sz w:val="16"/>
                <w:szCs w:val="16"/>
              </w:rPr>
            </w:pPr>
            <w:r w:rsidRPr="00337EAB">
              <w:rPr>
                <w:rFonts w:eastAsia="Times New Roman" w:cstheme="minorHAnsi"/>
                <w:sz w:val="16"/>
                <w:szCs w:val="16"/>
              </w:rPr>
              <w:t> </w:t>
            </w:r>
          </w:p>
        </w:tc>
        <w:tc>
          <w:tcPr>
            <w:tcW w:w="1753" w:type="dxa"/>
            <w:tcBorders>
              <w:top w:val="single" w:sz="8" w:space="0" w:color="808080"/>
              <w:left w:val="single" w:sz="8" w:space="0" w:color="808080"/>
              <w:bottom w:val="single" w:sz="8" w:space="0" w:color="808080"/>
              <w:right w:val="single" w:sz="8" w:space="0" w:color="808080"/>
            </w:tcBorders>
            <w:shd w:val="clear" w:color="auto" w:fill="auto"/>
            <w:hideMark/>
          </w:tcPr>
          <w:p w:rsidR="00337EAB" w:rsidRPr="00337EAB" w:rsidRDefault="00337EAB" w:rsidP="002B38EE">
            <w:pPr>
              <w:spacing w:after="0" w:line="240" w:lineRule="auto"/>
              <w:jc w:val="center"/>
              <w:rPr>
                <w:rFonts w:eastAsia="Times New Roman" w:cstheme="minorHAnsi"/>
                <w:sz w:val="16"/>
                <w:szCs w:val="16"/>
              </w:rPr>
            </w:pPr>
          </w:p>
        </w:tc>
        <w:tc>
          <w:tcPr>
            <w:tcW w:w="1132" w:type="dxa"/>
            <w:tcBorders>
              <w:top w:val="single" w:sz="8" w:space="0" w:color="808080"/>
              <w:left w:val="single" w:sz="8" w:space="0" w:color="808080"/>
              <w:bottom w:val="single" w:sz="8" w:space="0" w:color="808080"/>
              <w:right w:val="single" w:sz="8" w:space="0" w:color="808080"/>
            </w:tcBorders>
            <w:shd w:val="clear" w:color="auto" w:fill="auto"/>
            <w:hideMark/>
          </w:tcPr>
          <w:p w:rsidR="00337EAB" w:rsidRPr="00337EAB" w:rsidRDefault="00337EAB" w:rsidP="002B38EE">
            <w:pPr>
              <w:spacing w:after="0" w:line="240" w:lineRule="auto"/>
              <w:jc w:val="center"/>
              <w:rPr>
                <w:rFonts w:eastAsia="Times New Roman" w:cstheme="minorHAnsi"/>
                <w:color w:val="000000"/>
                <w:sz w:val="16"/>
                <w:szCs w:val="16"/>
              </w:rPr>
            </w:pPr>
            <w:r w:rsidRPr="00337EAB">
              <w:rPr>
                <w:rFonts w:eastAsia="Times New Roman" w:cstheme="minorHAnsi"/>
                <w:color w:val="000000"/>
                <w:sz w:val="16"/>
                <w:szCs w:val="16"/>
              </w:rPr>
              <w:t>Georgian State Insurance Supervision Service</w:t>
            </w:r>
          </w:p>
        </w:tc>
        <w:tc>
          <w:tcPr>
            <w:tcW w:w="1102" w:type="dxa"/>
            <w:tcBorders>
              <w:top w:val="single" w:sz="8" w:space="0" w:color="808080"/>
              <w:left w:val="single" w:sz="8" w:space="0" w:color="808080"/>
              <w:bottom w:val="single" w:sz="8" w:space="0" w:color="808080"/>
              <w:right w:val="single" w:sz="8" w:space="0" w:color="808080"/>
            </w:tcBorders>
            <w:shd w:val="clear" w:color="auto" w:fill="auto"/>
            <w:hideMark/>
          </w:tcPr>
          <w:p w:rsidR="00337EAB" w:rsidRPr="00337EAB" w:rsidRDefault="00337EAB" w:rsidP="002B38EE">
            <w:pPr>
              <w:spacing w:after="0" w:line="240" w:lineRule="auto"/>
              <w:jc w:val="center"/>
              <w:rPr>
                <w:rFonts w:eastAsia="Times New Roman" w:cstheme="minorHAnsi"/>
                <w:sz w:val="16"/>
                <w:szCs w:val="16"/>
              </w:rPr>
            </w:pPr>
          </w:p>
        </w:tc>
        <w:tc>
          <w:tcPr>
            <w:tcW w:w="1842" w:type="dxa"/>
            <w:tcBorders>
              <w:top w:val="single" w:sz="8" w:space="0" w:color="808080"/>
              <w:left w:val="single" w:sz="8" w:space="0" w:color="808080"/>
              <w:bottom w:val="single" w:sz="8" w:space="0" w:color="808080"/>
              <w:right w:val="single" w:sz="8" w:space="0" w:color="808080"/>
            </w:tcBorders>
            <w:shd w:val="clear" w:color="auto" w:fill="auto"/>
            <w:hideMark/>
          </w:tcPr>
          <w:p w:rsidR="00337EAB" w:rsidRPr="00337EAB" w:rsidRDefault="00337EAB" w:rsidP="002B38EE">
            <w:pPr>
              <w:spacing w:after="0" w:line="240" w:lineRule="auto"/>
              <w:jc w:val="center"/>
              <w:rPr>
                <w:rFonts w:eastAsia="Times New Roman" w:cstheme="minorHAnsi"/>
                <w:sz w:val="16"/>
                <w:szCs w:val="16"/>
              </w:rPr>
            </w:pPr>
          </w:p>
        </w:tc>
        <w:tc>
          <w:tcPr>
            <w:tcW w:w="1476" w:type="dxa"/>
            <w:tcBorders>
              <w:top w:val="single" w:sz="8" w:space="0" w:color="808080"/>
              <w:left w:val="single" w:sz="8" w:space="0" w:color="808080"/>
              <w:bottom w:val="single" w:sz="8" w:space="0" w:color="808080"/>
              <w:right w:val="single" w:sz="8" w:space="0" w:color="808080"/>
            </w:tcBorders>
            <w:shd w:val="clear" w:color="auto" w:fill="auto"/>
          </w:tcPr>
          <w:p w:rsidR="00337EAB" w:rsidRPr="00337EAB" w:rsidRDefault="00337EAB" w:rsidP="00337EAB">
            <w:pPr>
              <w:spacing w:after="0" w:line="240" w:lineRule="auto"/>
              <w:jc w:val="center"/>
              <w:rPr>
                <w:rFonts w:eastAsia="Times New Roman" w:cstheme="minorHAnsi"/>
                <w:sz w:val="16"/>
                <w:szCs w:val="16"/>
              </w:rPr>
            </w:pPr>
          </w:p>
        </w:tc>
      </w:tr>
      <w:tr w:rsidR="00D623BE" w:rsidRPr="00337EAB" w:rsidTr="00962FAA">
        <w:trPr>
          <w:trHeight w:val="1538"/>
        </w:trPr>
        <w:tc>
          <w:tcPr>
            <w:tcW w:w="1523" w:type="dxa"/>
            <w:tcBorders>
              <w:top w:val="single" w:sz="8" w:space="0" w:color="808080"/>
              <w:left w:val="single" w:sz="8" w:space="0" w:color="808080"/>
              <w:bottom w:val="single" w:sz="8" w:space="0" w:color="808080"/>
              <w:right w:val="single" w:sz="8" w:space="0" w:color="808080"/>
            </w:tcBorders>
            <w:shd w:val="clear" w:color="auto" w:fill="auto"/>
          </w:tcPr>
          <w:p w:rsidR="00D623BE" w:rsidRPr="00D623BE" w:rsidRDefault="00D623BE" w:rsidP="00D623BE">
            <w:pPr>
              <w:spacing w:after="0" w:line="240" w:lineRule="auto"/>
              <w:jc w:val="both"/>
              <w:rPr>
                <w:rFonts w:eastAsia="Times New Roman" w:cstheme="minorHAnsi"/>
                <w:color w:val="000000"/>
                <w:sz w:val="16"/>
                <w:szCs w:val="16"/>
              </w:rPr>
            </w:pPr>
            <w:r w:rsidRPr="00D623BE">
              <w:rPr>
                <w:rFonts w:eastAsia="Times New Roman" w:cstheme="minorHAnsi"/>
                <w:color w:val="000000"/>
                <w:sz w:val="16"/>
                <w:szCs w:val="16"/>
              </w:rPr>
              <w:lastRenderedPageBreak/>
              <w:t>Directive 2002/47/EC of the European Parliament and of the Council of 6 June 2002 on financial collateral arrangements</w:t>
            </w:r>
          </w:p>
        </w:tc>
        <w:tc>
          <w:tcPr>
            <w:tcW w:w="1176" w:type="dxa"/>
            <w:tcBorders>
              <w:top w:val="single" w:sz="8" w:space="0" w:color="808080"/>
              <w:left w:val="single" w:sz="8" w:space="0" w:color="808080"/>
              <w:bottom w:val="single" w:sz="8" w:space="0" w:color="808080"/>
              <w:right w:val="single" w:sz="8" w:space="0" w:color="808080"/>
            </w:tcBorders>
            <w:shd w:val="clear" w:color="auto" w:fill="auto"/>
          </w:tcPr>
          <w:p w:rsidR="00D623BE" w:rsidRPr="00D623BE" w:rsidRDefault="00D623BE" w:rsidP="00D623BE">
            <w:pPr>
              <w:spacing w:after="0" w:line="240" w:lineRule="auto"/>
              <w:jc w:val="both"/>
              <w:rPr>
                <w:rFonts w:eastAsia="Times New Roman" w:cstheme="minorHAnsi"/>
                <w:color w:val="000000"/>
                <w:sz w:val="16"/>
                <w:szCs w:val="16"/>
              </w:rPr>
            </w:pPr>
            <w:r w:rsidRPr="00D623BE">
              <w:rPr>
                <w:rFonts w:eastAsia="Times New Roman" w:cstheme="minorHAnsi"/>
                <w:color w:val="000000"/>
                <w:sz w:val="16"/>
                <w:szCs w:val="16"/>
              </w:rPr>
              <w:t> </w:t>
            </w:r>
          </w:p>
        </w:tc>
        <w:tc>
          <w:tcPr>
            <w:tcW w:w="1101" w:type="dxa"/>
            <w:tcBorders>
              <w:top w:val="single" w:sz="8" w:space="0" w:color="808080"/>
              <w:left w:val="single" w:sz="8" w:space="0" w:color="808080"/>
              <w:bottom w:val="single" w:sz="8" w:space="0" w:color="808080"/>
              <w:right w:val="single" w:sz="8" w:space="0" w:color="808080"/>
            </w:tcBorders>
            <w:shd w:val="clear" w:color="auto" w:fill="auto"/>
            <w:vAlign w:val="center"/>
          </w:tcPr>
          <w:p w:rsidR="00D623BE" w:rsidRPr="00D623BE" w:rsidRDefault="00D623BE" w:rsidP="00D623BE">
            <w:pPr>
              <w:spacing w:after="0" w:line="240" w:lineRule="auto"/>
              <w:jc w:val="both"/>
              <w:rPr>
                <w:rFonts w:eastAsia="Times New Roman" w:cstheme="minorHAnsi"/>
                <w:color w:val="000000"/>
                <w:sz w:val="16"/>
                <w:szCs w:val="16"/>
              </w:rPr>
            </w:pPr>
            <w:r w:rsidRPr="00D623BE">
              <w:rPr>
                <w:rFonts w:eastAsia="Times New Roman" w:cstheme="minorHAnsi"/>
                <w:color w:val="000000"/>
                <w:sz w:val="16"/>
                <w:szCs w:val="16"/>
              </w:rPr>
              <w:t>2019</w:t>
            </w:r>
          </w:p>
        </w:tc>
        <w:tc>
          <w:tcPr>
            <w:tcW w:w="852" w:type="dxa"/>
            <w:tcBorders>
              <w:top w:val="single" w:sz="8" w:space="0" w:color="808080"/>
              <w:left w:val="single" w:sz="8" w:space="0" w:color="808080"/>
              <w:bottom w:val="single" w:sz="8" w:space="0" w:color="808080"/>
              <w:right w:val="single" w:sz="8" w:space="0" w:color="808080"/>
            </w:tcBorders>
            <w:shd w:val="clear" w:color="auto" w:fill="auto"/>
            <w:vAlign w:val="center"/>
          </w:tcPr>
          <w:p w:rsidR="00D623BE" w:rsidRPr="00D623BE" w:rsidRDefault="00D623BE" w:rsidP="00D623BE">
            <w:pPr>
              <w:spacing w:after="0" w:line="240" w:lineRule="auto"/>
              <w:jc w:val="both"/>
              <w:rPr>
                <w:rFonts w:eastAsia="Times New Roman" w:cstheme="minorHAnsi"/>
                <w:color w:val="000000"/>
                <w:sz w:val="16"/>
                <w:szCs w:val="16"/>
              </w:rPr>
            </w:pPr>
            <w:r w:rsidRPr="00D623BE">
              <w:rPr>
                <w:rFonts w:eastAsia="Times New Roman" w:cstheme="minorHAnsi"/>
                <w:color w:val="000000"/>
                <w:sz w:val="16"/>
                <w:szCs w:val="16"/>
              </w:rPr>
              <w:t>YES</w:t>
            </w:r>
          </w:p>
        </w:tc>
        <w:tc>
          <w:tcPr>
            <w:tcW w:w="10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D623BE" w:rsidRPr="00D623BE" w:rsidRDefault="00D623BE" w:rsidP="00D623BE">
            <w:pPr>
              <w:spacing w:after="0" w:line="240" w:lineRule="auto"/>
              <w:jc w:val="both"/>
              <w:rPr>
                <w:rFonts w:eastAsia="Times New Roman" w:cstheme="minorHAnsi"/>
                <w:color w:val="000000"/>
                <w:sz w:val="16"/>
                <w:szCs w:val="16"/>
              </w:rPr>
            </w:pPr>
            <w:r w:rsidRPr="00D623BE">
              <w:rPr>
                <w:rFonts w:eastAsia="Times New Roman" w:cstheme="minorHAnsi"/>
                <w:color w:val="000000"/>
                <w:sz w:val="16"/>
                <w:szCs w:val="16"/>
              </w:rPr>
              <w:t>2019</w:t>
            </w:r>
          </w:p>
        </w:tc>
        <w:tc>
          <w:tcPr>
            <w:tcW w:w="687" w:type="dxa"/>
            <w:tcBorders>
              <w:top w:val="single" w:sz="8" w:space="0" w:color="808080"/>
              <w:left w:val="single" w:sz="8" w:space="0" w:color="808080"/>
              <w:bottom w:val="single" w:sz="8" w:space="0" w:color="808080"/>
              <w:right w:val="single" w:sz="8" w:space="0" w:color="808080"/>
            </w:tcBorders>
            <w:shd w:val="clear" w:color="auto" w:fill="auto"/>
            <w:vAlign w:val="center"/>
          </w:tcPr>
          <w:p w:rsidR="00D623BE" w:rsidRPr="00D623BE" w:rsidRDefault="00D623BE" w:rsidP="00D623BE">
            <w:pPr>
              <w:spacing w:after="0" w:line="240" w:lineRule="auto"/>
              <w:jc w:val="both"/>
              <w:rPr>
                <w:rFonts w:eastAsia="Times New Roman" w:cstheme="minorHAnsi"/>
                <w:color w:val="000000"/>
                <w:sz w:val="16"/>
                <w:szCs w:val="16"/>
              </w:rPr>
            </w:pPr>
            <w:r w:rsidRPr="00D623BE">
              <w:rPr>
                <w:rFonts w:eastAsia="Times New Roman" w:cstheme="minorHAnsi"/>
                <w:color w:val="000000"/>
                <w:sz w:val="16"/>
                <w:szCs w:val="16"/>
              </w:rPr>
              <w:t>2020</w:t>
            </w:r>
          </w:p>
        </w:tc>
        <w:tc>
          <w:tcPr>
            <w:tcW w:w="1520" w:type="dxa"/>
            <w:tcBorders>
              <w:top w:val="single" w:sz="8" w:space="0" w:color="808080"/>
              <w:left w:val="single" w:sz="8" w:space="0" w:color="808080"/>
              <w:bottom w:val="single" w:sz="8" w:space="0" w:color="808080"/>
              <w:right w:val="single" w:sz="8" w:space="0" w:color="808080"/>
            </w:tcBorders>
            <w:shd w:val="clear" w:color="auto" w:fill="auto"/>
            <w:vAlign w:val="bottom"/>
          </w:tcPr>
          <w:p w:rsidR="00D623BE" w:rsidRPr="00D623BE" w:rsidRDefault="00D623BE" w:rsidP="00D623BE">
            <w:pPr>
              <w:spacing w:after="0" w:line="240" w:lineRule="auto"/>
              <w:jc w:val="both"/>
              <w:rPr>
                <w:rFonts w:eastAsia="Times New Roman" w:cstheme="minorHAnsi"/>
                <w:color w:val="000000"/>
                <w:sz w:val="16"/>
                <w:szCs w:val="16"/>
              </w:rPr>
            </w:pPr>
            <w:r w:rsidRPr="00D623BE">
              <w:rPr>
                <w:rFonts w:eastAsia="Times New Roman" w:cstheme="minorHAnsi"/>
                <w:color w:val="000000"/>
                <w:sz w:val="16"/>
                <w:szCs w:val="16"/>
              </w:rPr>
              <w:t> </w:t>
            </w:r>
          </w:p>
        </w:tc>
        <w:tc>
          <w:tcPr>
            <w:tcW w:w="1753" w:type="dxa"/>
            <w:tcBorders>
              <w:top w:val="single" w:sz="8" w:space="0" w:color="808080"/>
              <w:left w:val="single" w:sz="8" w:space="0" w:color="808080"/>
              <w:bottom w:val="single" w:sz="8" w:space="0" w:color="808080"/>
              <w:right w:val="single" w:sz="8" w:space="0" w:color="808080"/>
            </w:tcBorders>
            <w:shd w:val="clear" w:color="auto" w:fill="auto"/>
          </w:tcPr>
          <w:p w:rsidR="00D623BE" w:rsidRPr="00564743" w:rsidRDefault="00D623BE" w:rsidP="00D623BE">
            <w:pPr>
              <w:spacing w:after="0" w:line="240" w:lineRule="auto"/>
              <w:jc w:val="both"/>
              <w:rPr>
                <w:rFonts w:eastAsia="Times New Roman" w:cstheme="minorHAnsi"/>
                <w:color w:val="000000"/>
                <w:sz w:val="16"/>
                <w:szCs w:val="16"/>
              </w:rPr>
            </w:pPr>
            <w:r w:rsidRPr="00D623BE">
              <w:rPr>
                <w:rFonts w:eastAsia="Times New Roman" w:cstheme="minorHAnsi"/>
                <w:color w:val="000000"/>
                <w:sz w:val="16"/>
                <w:szCs w:val="16"/>
              </w:rPr>
              <w:t>Law of Georgia  on Financial Mortgages,</w:t>
            </w:r>
            <w:r w:rsidR="00962FAA">
              <w:rPr>
                <w:rFonts w:eastAsia="Times New Roman" w:cstheme="minorHAnsi"/>
                <w:color w:val="000000"/>
                <w:sz w:val="16"/>
                <w:szCs w:val="16"/>
              </w:rPr>
              <w:t xml:space="preserve"> clearings and Derivatives (un</w:t>
            </w:r>
            <w:r w:rsidRPr="00D623BE">
              <w:rPr>
                <w:rFonts w:eastAsia="Times New Roman" w:cstheme="minorHAnsi"/>
                <w:color w:val="000000"/>
                <w:sz w:val="16"/>
                <w:szCs w:val="16"/>
              </w:rPr>
              <w:t xml:space="preserve">official </w:t>
            </w:r>
            <w:r w:rsidR="00962FAA" w:rsidRPr="00D623BE">
              <w:rPr>
                <w:rFonts w:eastAsia="Times New Roman" w:cstheme="minorHAnsi"/>
                <w:color w:val="000000"/>
                <w:sz w:val="16"/>
                <w:szCs w:val="16"/>
              </w:rPr>
              <w:t>translation</w:t>
            </w:r>
            <w:r w:rsidRPr="00D623BE">
              <w:rPr>
                <w:rFonts w:eastAsia="Times New Roman" w:cstheme="minorHAnsi"/>
                <w:color w:val="000000"/>
                <w:sz w:val="16"/>
                <w:szCs w:val="16"/>
              </w:rPr>
              <w:t xml:space="preserve">)        </w:t>
            </w:r>
            <w:r w:rsidR="00564743" w:rsidRPr="00564743">
              <w:rPr>
                <w:rFonts w:eastAsia="Times New Roman" w:cstheme="minorHAnsi"/>
                <w:i/>
                <w:color w:val="000000"/>
                <w:sz w:val="16"/>
                <w:szCs w:val="16"/>
              </w:rPr>
              <w:t>[</w:t>
            </w:r>
            <w:r w:rsidRPr="00564743">
              <w:rPr>
                <w:rFonts w:eastAsia="Times New Roman" w:cstheme="minorHAnsi"/>
                <w:i/>
                <w:color w:val="000000"/>
                <w:sz w:val="16"/>
                <w:szCs w:val="16"/>
                <w:lang w:val="ka-GE"/>
              </w:rPr>
              <w:t>საქართველოს კანონი ფინანსური გირავნობის, ურთიერთგაქვითვისა და დერივატივების შესახებ</w:t>
            </w:r>
            <w:r w:rsidR="00564743" w:rsidRPr="00564743">
              <w:rPr>
                <w:rFonts w:eastAsia="Times New Roman" w:cstheme="minorHAnsi"/>
                <w:i/>
                <w:color w:val="000000"/>
                <w:sz w:val="16"/>
                <w:szCs w:val="16"/>
              </w:rPr>
              <w:t>]</w:t>
            </w:r>
          </w:p>
        </w:tc>
        <w:tc>
          <w:tcPr>
            <w:tcW w:w="1132" w:type="dxa"/>
            <w:tcBorders>
              <w:top w:val="single" w:sz="8" w:space="0" w:color="808080"/>
              <w:left w:val="single" w:sz="8" w:space="0" w:color="808080"/>
              <w:bottom w:val="single" w:sz="8" w:space="0" w:color="808080"/>
              <w:right w:val="single" w:sz="8" w:space="0" w:color="808080"/>
            </w:tcBorders>
            <w:shd w:val="clear" w:color="auto" w:fill="auto"/>
            <w:vAlign w:val="center"/>
          </w:tcPr>
          <w:p w:rsidR="00D623BE" w:rsidRPr="00D623BE" w:rsidRDefault="00D623BE" w:rsidP="00D623BE">
            <w:pPr>
              <w:spacing w:after="0" w:line="240" w:lineRule="auto"/>
              <w:jc w:val="both"/>
              <w:rPr>
                <w:rFonts w:eastAsia="Times New Roman" w:cstheme="minorHAnsi"/>
                <w:color w:val="000000"/>
                <w:sz w:val="16"/>
                <w:szCs w:val="16"/>
              </w:rPr>
            </w:pPr>
            <w:r w:rsidRPr="00D623BE">
              <w:rPr>
                <w:rFonts w:eastAsia="Times New Roman" w:cstheme="minorHAnsi"/>
                <w:color w:val="000000"/>
                <w:sz w:val="16"/>
                <w:szCs w:val="16"/>
              </w:rPr>
              <w:t>Georgian State Insurance Supervision Service</w:t>
            </w:r>
          </w:p>
        </w:tc>
        <w:tc>
          <w:tcPr>
            <w:tcW w:w="1102" w:type="dxa"/>
            <w:tcBorders>
              <w:top w:val="single" w:sz="8" w:space="0" w:color="808080"/>
              <w:left w:val="single" w:sz="8" w:space="0" w:color="808080"/>
              <w:bottom w:val="single" w:sz="8" w:space="0" w:color="808080"/>
              <w:right w:val="single" w:sz="8" w:space="0" w:color="808080"/>
            </w:tcBorders>
            <w:shd w:val="clear" w:color="auto" w:fill="auto"/>
            <w:vAlign w:val="bottom"/>
          </w:tcPr>
          <w:p w:rsidR="00D623BE" w:rsidRPr="00D623BE" w:rsidRDefault="00D623BE" w:rsidP="00D623BE">
            <w:pPr>
              <w:spacing w:after="0" w:line="240" w:lineRule="auto"/>
              <w:jc w:val="both"/>
              <w:rPr>
                <w:rFonts w:eastAsia="Times New Roman" w:cstheme="minorHAnsi"/>
                <w:color w:val="000000"/>
                <w:sz w:val="16"/>
                <w:szCs w:val="16"/>
              </w:rPr>
            </w:pPr>
            <w:r w:rsidRPr="00D623BE">
              <w:rPr>
                <w:rFonts w:eastAsia="Times New Roman" w:cstheme="minorHAnsi"/>
                <w:color w:val="000000"/>
                <w:sz w:val="16"/>
                <w:szCs w:val="16"/>
              </w:rPr>
              <w:t> </w:t>
            </w:r>
          </w:p>
        </w:tc>
        <w:tc>
          <w:tcPr>
            <w:tcW w:w="1842" w:type="dxa"/>
            <w:tcBorders>
              <w:top w:val="single" w:sz="8" w:space="0" w:color="808080"/>
              <w:left w:val="single" w:sz="8" w:space="0" w:color="808080"/>
              <w:bottom w:val="single" w:sz="8" w:space="0" w:color="808080"/>
              <w:right w:val="single" w:sz="8" w:space="0" w:color="808080"/>
            </w:tcBorders>
            <w:shd w:val="clear" w:color="auto" w:fill="auto"/>
          </w:tcPr>
          <w:p w:rsidR="00D623BE" w:rsidRPr="00337EAB" w:rsidRDefault="00D623BE" w:rsidP="00D623BE">
            <w:pPr>
              <w:spacing w:after="0" w:line="240" w:lineRule="auto"/>
              <w:jc w:val="both"/>
              <w:rPr>
                <w:rFonts w:eastAsia="Times New Roman" w:cstheme="minorHAnsi"/>
                <w:color w:val="000000"/>
                <w:sz w:val="16"/>
                <w:szCs w:val="16"/>
              </w:rPr>
            </w:pPr>
          </w:p>
        </w:tc>
        <w:tc>
          <w:tcPr>
            <w:tcW w:w="1476" w:type="dxa"/>
            <w:tcBorders>
              <w:top w:val="single" w:sz="8" w:space="0" w:color="808080"/>
              <w:left w:val="single" w:sz="8" w:space="0" w:color="808080"/>
              <w:bottom w:val="single" w:sz="8" w:space="0" w:color="808080"/>
              <w:right w:val="single" w:sz="8" w:space="0" w:color="808080"/>
            </w:tcBorders>
            <w:shd w:val="clear" w:color="auto" w:fill="auto"/>
          </w:tcPr>
          <w:p w:rsidR="00D623BE" w:rsidRPr="00337EAB" w:rsidRDefault="00D623BE" w:rsidP="00D623BE">
            <w:pPr>
              <w:spacing w:after="0" w:line="240" w:lineRule="auto"/>
              <w:jc w:val="both"/>
              <w:rPr>
                <w:rFonts w:eastAsia="Times New Roman" w:cstheme="minorHAnsi"/>
                <w:color w:val="000000"/>
                <w:sz w:val="16"/>
                <w:szCs w:val="16"/>
              </w:rPr>
            </w:pPr>
          </w:p>
        </w:tc>
      </w:tr>
    </w:tbl>
    <w:p w:rsidR="00AC3C76" w:rsidRPr="00AC3C76" w:rsidRDefault="00AC3C76" w:rsidP="00AC3C76">
      <w:pPr>
        <w:jc w:val="center"/>
        <w:rPr>
          <w:b/>
          <w:color w:val="2E74B5" w:themeColor="accent1" w:themeShade="BF"/>
          <w:sz w:val="24"/>
          <w:u w:val="single"/>
        </w:rPr>
      </w:pPr>
    </w:p>
    <w:sectPr w:rsidR="00AC3C76" w:rsidRPr="00AC3C76" w:rsidSect="00AC3C7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2ED" w:rsidRDefault="00FE72ED" w:rsidP="00A2657B">
      <w:pPr>
        <w:spacing w:after="0" w:line="240" w:lineRule="auto"/>
      </w:pPr>
      <w:r>
        <w:separator/>
      </w:r>
    </w:p>
  </w:endnote>
  <w:endnote w:type="continuationSeparator" w:id="0">
    <w:p w:rsidR="00FE72ED" w:rsidRDefault="00FE72ED" w:rsidP="00A26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3703659"/>
      <w:docPartObj>
        <w:docPartGallery w:val="Page Numbers (Bottom of Page)"/>
        <w:docPartUnique/>
      </w:docPartObj>
    </w:sdtPr>
    <w:sdtEndPr>
      <w:rPr>
        <w:noProof/>
      </w:rPr>
    </w:sdtEndPr>
    <w:sdtContent>
      <w:p w:rsidR="00E75005" w:rsidRDefault="00E75005">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E75005" w:rsidRDefault="00E7500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2ED" w:rsidRDefault="00FE72ED" w:rsidP="00A2657B">
      <w:pPr>
        <w:spacing w:after="0" w:line="240" w:lineRule="auto"/>
      </w:pPr>
      <w:r>
        <w:separator/>
      </w:r>
    </w:p>
  </w:footnote>
  <w:footnote w:type="continuationSeparator" w:id="0">
    <w:p w:rsidR="00FE72ED" w:rsidRDefault="00FE72ED" w:rsidP="00A265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678"/>
    <w:rsid w:val="001B2CE3"/>
    <w:rsid w:val="002B38EE"/>
    <w:rsid w:val="00337EAB"/>
    <w:rsid w:val="00434C65"/>
    <w:rsid w:val="00460794"/>
    <w:rsid w:val="004C2A0C"/>
    <w:rsid w:val="00564743"/>
    <w:rsid w:val="00611AC2"/>
    <w:rsid w:val="00884223"/>
    <w:rsid w:val="00962FAA"/>
    <w:rsid w:val="00A16808"/>
    <w:rsid w:val="00A2657B"/>
    <w:rsid w:val="00A570A2"/>
    <w:rsid w:val="00A81D56"/>
    <w:rsid w:val="00AC3C76"/>
    <w:rsid w:val="00C276D0"/>
    <w:rsid w:val="00CA657A"/>
    <w:rsid w:val="00D21678"/>
    <w:rsid w:val="00D623BE"/>
    <w:rsid w:val="00DE7141"/>
    <w:rsid w:val="00E75005"/>
    <w:rsid w:val="00EE31B6"/>
    <w:rsid w:val="00FD1B43"/>
    <w:rsid w:val="00FE7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076FCF-3318-4274-AA73-DF7A1BA3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265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657B"/>
    <w:rPr>
      <w:sz w:val="20"/>
      <w:szCs w:val="20"/>
    </w:rPr>
  </w:style>
  <w:style w:type="character" w:styleId="FootnoteReference">
    <w:name w:val="footnote reference"/>
    <w:basedOn w:val="DefaultParagraphFont"/>
    <w:uiPriority w:val="99"/>
    <w:semiHidden/>
    <w:unhideWhenUsed/>
    <w:rsid w:val="00A2657B"/>
    <w:rPr>
      <w:vertAlign w:val="superscript"/>
    </w:rPr>
  </w:style>
  <w:style w:type="paragraph" w:styleId="Header">
    <w:name w:val="header"/>
    <w:basedOn w:val="Normal"/>
    <w:link w:val="HeaderChar"/>
    <w:uiPriority w:val="99"/>
    <w:unhideWhenUsed/>
    <w:rsid w:val="00E75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005"/>
  </w:style>
  <w:style w:type="paragraph" w:styleId="Footer">
    <w:name w:val="footer"/>
    <w:basedOn w:val="Normal"/>
    <w:link w:val="FooterChar"/>
    <w:uiPriority w:val="99"/>
    <w:unhideWhenUsed/>
    <w:rsid w:val="00E75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6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BEBE2-104E-4205-ABB8-A68A04B61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2020-10-01T20:08:00Z</dcterms:created>
  <dcterms:modified xsi:type="dcterms:W3CDTF">2020-10-09T10:48:00Z</dcterms:modified>
</cp:coreProperties>
</file>